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1F" w:rsidRDefault="00A30F69" w:rsidP="00A30F69">
      <w:pPr>
        <w:pStyle w:val="Kop2"/>
      </w:pPr>
      <w:r>
        <w:t>hoofdstuk 2: jongerenwelzijn: plaatsing insituaties van verontrusting</w:t>
      </w:r>
    </w:p>
    <w:p w:rsidR="00A30F69" w:rsidRDefault="00A30F69" w:rsidP="00A30F69"/>
    <w:p w:rsidR="00A30F69" w:rsidRDefault="00A30F69" w:rsidP="00A30F69">
      <w:pPr>
        <w:rPr>
          <w:u w:val="single"/>
        </w:rPr>
      </w:pPr>
      <w:r>
        <w:rPr>
          <w:u w:val="single"/>
        </w:rPr>
        <w:t>1.</w:t>
      </w:r>
      <w:r>
        <w:rPr>
          <w:u w:val="single"/>
        </w:rPr>
        <w:tab/>
        <w:t>Inleiding</w:t>
      </w:r>
    </w:p>
    <w:p w:rsidR="00A30F69" w:rsidRDefault="00A30F69" w:rsidP="00F51DB4">
      <w:pPr>
        <w:jc w:val="both"/>
      </w:pPr>
      <w:r>
        <w:t xml:space="preserve">Als gevolg van de implementatie van IJH is het jeugdhulplandschap geherstructureerd. Momenteel zitten we in een </w:t>
      </w:r>
      <w:r>
        <w:rPr>
          <w:b/>
        </w:rPr>
        <w:t>overgangsfase</w:t>
      </w:r>
      <w:r>
        <w:t xml:space="preserve">. </w:t>
      </w:r>
      <w:r>
        <w:rPr>
          <w:b/>
        </w:rPr>
        <w:t>Jongerenwelzijn</w:t>
      </w:r>
      <w:r>
        <w:t xml:space="preserve"> is de nieuwe naam. De overheid heeft de bedoeling om </w:t>
      </w:r>
      <w:r w:rsidR="00F51DB4">
        <w:t xml:space="preserve">zowel </w:t>
      </w:r>
      <w:r>
        <w:t>hulpverlening te bieden als preventie</w:t>
      </w:r>
      <w:r w:rsidR="00F51DB4">
        <w:t xml:space="preserve"> (opsporen factoren)</w:t>
      </w:r>
      <w:r>
        <w:t xml:space="preserve">. De overheid grijpt in bij maatschappelijke noodzaak, het is belangrijk te vermelden </w:t>
      </w:r>
      <w:r w:rsidR="00F51DB4">
        <w:t xml:space="preserve">dat </w:t>
      </w:r>
      <w:r>
        <w:t xml:space="preserve">een als Misdaad Omschreven Feit (MOF) een andere bevoegde rechtbank heeft dan misdrijven gepleegd door meerderjarigen. Het gaat niet om straffen, wel om </w:t>
      </w:r>
      <w:r>
        <w:rPr>
          <w:b/>
        </w:rPr>
        <w:t>maatregelen.</w:t>
      </w:r>
    </w:p>
    <w:p w:rsidR="00A30F69" w:rsidRDefault="00F51DB4" w:rsidP="00A30F69">
      <w:r>
        <w:t>‘</w:t>
      </w:r>
      <w:r w:rsidR="00A30F69">
        <w:t>Situatie van verontrusting</w:t>
      </w:r>
      <w:r>
        <w:t>’</w:t>
      </w:r>
      <w:r w:rsidR="00A30F69">
        <w:t xml:space="preserve"> = ontwikkelingskansen of integriteit bedreigd of aangetast</w:t>
      </w:r>
      <w:r w:rsidR="00A30F69">
        <w:br/>
        <w:t>&lt;&gt; vroeger: Problematische opvoedingssituatie (POS)= ontplooiingskansen in het gedrang</w:t>
      </w:r>
    </w:p>
    <w:p w:rsidR="00A30F69" w:rsidRDefault="00A30F69" w:rsidP="00A30F69">
      <w:r>
        <w:t>!</w:t>
      </w:r>
      <w:r w:rsidR="00F51DB4">
        <w:t xml:space="preserve">! Belangrijk verschil: oorzaak </w:t>
      </w:r>
      <w:r>
        <w:t>probleem ligt niet eenzijdig bij kind/ ouders maar in de op</w:t>
      </w:r>
      <w:r w:rsidR="00F51DB4">
        <w:t>voedingssituatie in zijn geheel !!</w:t>
      </w:r>
    </w:p>
    <w:p w:rsidR="00F51DB4" w:rsidRDefault="00F51DB4" w:rsidP="00A30F69">
      <w:r>
        <w:t xml:space="preserve">Hulpverlening van jongerenwelzijn kan dus enkel mits een </w:t>
      </w:r>
      <w:r>
        <w:rPr>
          <w:b/>
        </w:rPr>
        <w:t>toegangsticket</w:t>
      </w:r>
      <w:r>
        <w:t xml:space="preserve"> aangereikt door een gemandateerde voorziening of door een jeugdrechtbank </w:t>
      </w:r>
      <w:r>
        <w:sym w:font="Wingdings" w:char="F0E0"/>
      </w:r>
      <w:r>
        <w:t xml:space="preserve"> intersectorale toegangspoort: enerzijds team indicatiestelling (welke hulpvorm) en jeugdhulpregie (welke voorziening)</w:t>
      </w:r>
    </w:p>
    <w:p w:rsidR="00F51DB4" w:rsidRDefault="00F51DB4" w:rsidP="00A30F69">
      <w:pPr>
        <w:rPr>
          <w:u w:val="single"/>
        </w:rPr>
      </w:pPr>
      <w:r>
        <w:rPr>
          <w:u w:val="single"/>
        </w:rPr>
        <w:t>2.</w:t>
      </w:r>
      <w:r>
        <w:rPr>
          <w:u w:val="single"/>
        </w:rPr>
        <w:tab/>
        <w:t>Historiek</w:t>
      </w:r>
    </w:p>
    <w:p w:rsidR="00F51DB4" w:rsidRDefault="00F51DB4" w:rsidP="00A30F69">
      <w:r>
        <w:t>De identiteit “Kind” is een recent gegeven.</w:t>
      </w:r>
    </w:p>
    <w:p w:rsidR="00480D2A" w:rsidRDefault="00F51DB4" w:rsidP="00A30F69">
      <w:r>
        <w:t>1) 12</w:t>
      </w:r>
      <w:r w:rsidRPr="00F51DB4">
        <w:rPr>
          <w:vertAlign w:val="superscript"/>
        </w:rPr>
        <w:t>e</w:t>
      </w:r>
      <w:r>
        <w:t xml:space="preserve"> eeuw: opkomst steden </w:t>
      </w:r>
      <w:r>
        <w:sym w:font="Wingdings" w:char="F0E0"/>
      </w:r>
      <w:r>
        <w:t xml:space="preserve"> complexere samenleving </w:t>
      </w:r>
      <w:r>
        <w:sym w:font="Wingdings" w:char="F0E0"/>
      </w:r>
      <w:r>
        <w:t xml:space="preserve"> overbevolking </w:t>
      </w:r>
      <w:r>
        <w:sym w:font="Wingdings" w:char="F0E0"/>
      </w:r>
      <w:r>
        <w:t xml:space="preserve"> armoede </w:t>
      </w:r>
      <w:r>
        <w:sym w:font="Wingdings" w:char="F0E0"/>
      </w:r>
      <w:r>
        <w:t xml:space="preserve"> opsluiting</w:t>
      </w:r>
      <w:r>
        <w:br/>
        <w:t xml:space="preserve">2) </w:t>
      </w:r>
      <w:r w:rsidR="00480D2A">
        <w:t>Humanisme: aanklagen deze wantoestanden: oprichting kloosterscholen</w:t>
      </w:r>
      <w:r w:rsidR="00480D2A">
        <w:br/>
        <w:t xml:space="preserve">3) Industriële revolutie was hun schoolloopbaan voor </w:t>
      </w:r>
      <w:r w:rsidR="00480D2A">
        <w:sym w:font="Wingdings" w:char="F0E0"/>
      </w:r>
      <w:r w:rsidR="00480D2A">
        <w:t xml:space="preserve"> misbruik, ongevallen en vondelingen</w:t>
      </w:r>
      <w:r w:rsidR="00480D2A">
        <w:br/>
        <w:t>4) 1833 Broeders van Liefde: opvoedkundige aanpak: kinderen afzonderen van de gevaren vd volwassen wereld</w:t>
      </w:r>
      <w:r w:rsidR="00480D2A">
        <w:br/>
        <w:t>5) 20</w:t>
      </w:r>
      <w:r w:rsidR="00480D2A" w:rsidRPr="00480D2A">
        <w:rPr>
          <w:vertAlign w:val="superscript"/>
        </w:rPr>
        <w:t>e</w:t>
      </w:r>
      <w:r w:rsidR="00480D2A">
        <w:t xml:space="preserve"> eeuw: opkomst wetenschapstakken: toepassen van hun theorieën </w:t>
      </w:r>
    </w:p>
    <w:p w:rsidR="00480D2A" w:rsidRDefault="00480D2A" w:rsidP="00A30F69">
      <w:r>
        <w:t xml:space="preserve">De residentiële basis werd meer en meer in vraag gesteld </w:t>
      </w:r>
      <w:r>
        <w:sym w:font="Wingdings" w:char="F0E0"/>
      </w:r>
      <w:r>
        <w:t xml:space="preserve"> vanuit ontw.psychologisch, sociologisch (totalitair karakter), systeemdenken en orthopedagogisch hoek</w:t>
      </w:r>
    </w:p>
    <w:p w:rsidR="00480D2A" w:rsidRDefault="00480D2A" w:rsidP="00A30F69">
      <w:pPr>
        <w:rPr>
          <w:u w:val="single"/>
        </w:rPr>
      </w:pPr>
      <w:r>
        <w:rPr>
          <w:u w:val="single"/>
        </w:rPr>
        <w:t>2.1</w:t>
      </w:r>
      <w:r>
        <w:rPr>
          <w:u w:val="single"/>
        </w:rPr>
        <w:tab/>
        <w:t>Evolutie van de wetgeving inzake jeugdbescherming</w:t>
      </w:r>
    </w:p>
    <w:tbl>
      <w:tblPr>
        <w:tblStyle w:val="Tabelraster"/>
        <w:tblW w:w="0" w:type="auto"/>
        <w:tblLook w:val="04A0" w:firstRow="1" w:lastRow="0" w:firstColumn="1" w:lastColumn="0" w:noHBand="0" w:noVBand="1"/>
      </w:tblPr>
      <w:tblGrid>
        <w:gridCol w:w="3114"/>
      </w:tblGrid>
      <w:tr w:rsidR="00480D2A" w:rsidTr="00480D2A">
        <w:tc>
          <w:tcPr>
            <w:tcW w:w="3114" w:type="dxa"/>
          </w:tcPr>
          <w:p w:rsidR="00480D2A" w:rsidRDefault="00480D2A" w:rsidP="00A30F69">
            <w:r>
              <w:t>Wet op kinderbescherming 1912</w:t>
            </w:r>
          </w:p>
        </w:tc>
      </w:tr>
    </w:tbl>
    <w:p w:rsidR="00480D2A" w:rsidRDefault="00123363" w:rsidP="00A30F69">
      <w:r>
        <w:t xml:space="preserve">België was één van de eerste landen dat kinderen onttrok aan het strafrecht voor volwassenen. Het doel is het kind decriminaliseren en een misdaadvrije samenleving te bekomen </w:t>
      </w:r>
      <w:r>
        <w:sym w:font="Wingdings" w:char="F0E0"/>
      </w:r>
      <w:r>
        <w:t xml:space="preserve"> preventief optreden</w:t>
      </w:r>
    </w:p>
    <w:tbl>
      <w:tblPr>
        <w:tblStyle w:val="Tabelraster"/>
        <w:tblW w:w="0" w:type="auto"/>
        <w:tblLook w:val="04A0" w:firstRow="1" w:lastRow="0" w:firstColumn="1" w:lastColumn="0" w:noHBand="0" w:noVBand="1"/>
      </w:tblPr>
      <w:tblGrid>
        <w:gridCol w:w="3114"/>
      </w:tblGrid>
      <w:tr w:rsidR="00123363" w:rsidTr="00123363">
        <w:tc>
          <w:tcPr>
            <w:tcW w:w="3114" w:type="dxa"/>
          </w:tcPr>
          <w:p w:rsidR="00123363" w:rsidRDefault="00123363" w:rsidP="00A30F69">
            <w:r>
              <w:t>Wet op jeugdbescherming 1965</w:t>
            </w:r>
          </w:p>
        </w:tc>
      </w:tr>
    </w:tbl>
    <w:p w:rsidR="00123363" w:rsidRDefault="00123363" w:rsidP="00A30F69">
      <w:r>
        <w:t xml:space="preserve">Belangrijkste motor om deze wet te herzien was dat men enkel kon ingrijpen bij een ‘als feiten omschreven misdrijf’ en niet wanneer het gedrag of de reële opvoedingssituatie een gevaar vormden </w:t>
      </w:r>
      <w:r>
        <w:sym w:font="Wingdings" w:char="F0E0"/>
      </w:r>
      <w:r>
        <w:t xml:space="preserve"> overheid kreeg zo meer controle op het doen en laten van jongeren en hun gezin. </w:t>
      </w:r>
    </w:p>
    <w:p w:rsidR="00743A32" w:rsidRDefault="00743A32" w:rsidP="00A30F69">
      <w:r>
        <w:t xml:space="preserve">Er wordt hier geen onderscheid gemaakt tussen de maatregelen die de jeugdrechter kan opleggen obv een POS of een MOF. </w:t>
      </w:r>
      <w:r w:rsidR="00B10D53">
        <w:t>Verder is er de mogelijkheid tot ‘</w:t>
      </w:r>
      <w:r w:rsidR="00B10D53" w:rsidRPr="00B10D53">
        <w:rPr>
          <w:b/>
        </w:rPr>
        <w:t>uithandengeving’</w:t>
      </w:r>
      <w:r w:rsidR="00B10D53">
        <w:t xml:space="preserve"> = doorverwijzen naar een rechtbank waar volwassen terechtstaan. </w:t>
      </w:r>
    </w:p>
    <w:p w:rsidR="00B10D53" w:rsidRDefault="00B10D53" w:rsidP="00A30F69">
      <w:r>
        <w:t>De meest zichtbare innovatie is de oprichting van jeugdbschermings</w:t>
      </w:r>
      <w:r w:rsidRPr="00B10D53">
        <w:rPr>
          <w:b/>
        </w:rPr>
        <w:t>comité’s</w:t>
      </w:r>
      <w:r>
        <w:rPr>
          <w:b/>
        </w:rPr>
        <w:t xml:space="preserve"> (JBC)</w:t>
      </w:r>
      <w:r>
        <w:t xml:space="preserve">, zij staan in voor vrijwillige hulpverlening. </w:t>
      </w:r>
    </w:p>
    <w:tbl>
      <w:tblPr>
        <w:tblStyle w:val="Tabelraster"/>
        <w:tblW w:w="0" w:type="auto"/>
        <w:tblLook w:val="04A0" w:firstRow="1" w:lastRow="0" w:firstColumn="1" w:lastColumn="0" w:noHBand="0" w:noVBand="1"/>
      </w:tblPr>
      <w:tblGrid>
        <w:gridCol w:w="5098"/>
      </w:tblGrid>
      <w:tr w:rsidR="00B10D53" w:rsidTr="00B10D53">
        <w:tc>
          <w:tcPr>
            <w:tcW w:w="5098" w:type="dxa"/>
          </w:tcPr>
          <w:p w:rsidR="00B10D53" w:rsidRDefault="00B10D53" w:rsidP="00A30F69">
            <w:r>
              <w:lastRenderedPageBreak/>
              <w:t>Staatshervorming en gecoördineerde decreten 1990</w:t>
            </w:r>
          </w:p>
        </w:tc>
      </w:tr>
    </w:tbl>
    <w:p w:rsidR="00B10D53" w:rsidRDefault="00B10D53" w:rsidP="00A30F69">
      <w:r>
        <w:t>1980 1988: persoonsgebonden aangelegenheden overgeheveld naar gemeenschapsbevoegdheden.</w:t>
      </w:r>
      <w:r>
        <w:br/>
        <w:t>1990: gemeenschappen 2voudige opdracht: algemeen preventief beleid en hulpverlening</w:t>
      </w:r>
    </w:p>
    <w:p w:rsidR="00344639" w:rsidRDefault="00344639" w:rsidP="00660BA1">
      <w:pPr>
        <w:jc w:val="both"/>
      </w:pPr>
      <w:r>
        <w:t xml:space="preserve">Het </w:t>
      </w:r>
      <w:r w:rsidRPr="00344639">
        <w:rPr>
          <w:b/>
        </w:rPr>
        <w:t>federale</w:t>
      </w:r>
      <w:r>
        <w:t xml:space="preserve"> niveau is nog steeds bevoegd voor de </w:t>
      </w:r>
      <w:r w:rsidRPr="00344639">
        <w:rPr>
          <w:b/>
        </w:rPr>
        <w:t>opgave</w:t>
      </w:r>
      <w:r>
        <w:t xml:space="preserve"> van maatregelen maar het </w:t>
      </w:r>
      <w:r w:rsidRPr="00344639">
        <w:rPr>
          <w:b/>
        </w:rPr>
        <w:t>gemeenschapsniveau</w:t>
      </w:r>
      <w:r>
        <w:t xml:space="preserve"> is verantwoordelijk voor de </w:t>
      </w:r>
      <w:r w:rsidRPr="00344639">
        <w:rPr>
          <w:b/>
        </w:rPr>
        <w:t>uitvoering</w:t>
      </w:r>
      <w:r>
        <w:t xml:space="preserve"> ervan. </w:t>
      </w:r>
    </w:p>
    <w:p w:rsidR="00344639" w:rsidRDefault="00344639" w:rsidP="00A30F69">
      <w:pPr>
        <w:rPr>
          <w:i/>
        </w:rPr>
      </w:pPr>
      <w:r>
        <w:rPr>
          <w:i/>
        </w:rPr>
        <w:t>Toegang tot de jeugdbijstand</w:t>
      </w:r>
    </w:p>
    <w:p w:rsidR="00344639" w:rsidRDefault="00344639" w:rsidP="00660BA1">
      <w:pPr>
        <w:jc w:val="both"/>
      </w:pPr>
      <w:r>
        <w:t xml:space="preserve">Strikte scheiding (buiten) gerechtelijke jeugdbescherming = centrale doelstelling. Voorheen was dit door de functie van de jeugdbeschermingscomités niet hel geval. Vanaf 1990 kregen zij ook een nieuwe naam, Comités voor Bijzondere Jeugdzorg (CBJ). </w:t>
      </w:r>
    </w:p>
    <w:p w:rsidR="00344639" w:rsidRDefault="00344639" w:rsidP="00A30F69">
      <w:pPr>
        <w:rPr>
          <w:i/>
        </w:rPr>
      </w:pPr>
      <w:r>
        <w:rPr>
          <w:i/>
        </w:rPr>
        <w:t>Comités voor bijzondere jeugdzorg</w:t>
      </w:r>
    </w:p>
    <w:p w:rsidR="00344639" w:rsidRDefault="00EF3038" w:rsidP="00660BA1">
      <w:pPr>
        <w:jc w:val="both"/>
      </w:pPr>
      <w:r>
        <w:t xml:space="preserve">Vroeger lag de nadruk vooral op defensieve preventie (voorkomen van erger), nu op offensieve preventie (zo vroeg mogelijk). </w:t>
      </w:r>
      <w:r w:rsidR="00026026">
        <w:t>Het comité bijzondere jeugdzorg beschikt over een administratief secr</w:t>
      </w:r>
      <w:r w:rsidR="00F25DB9">
        <w:t xml:space="preserve">etariaat en een sociale dienst, bemand door consulenten. </w:t>
      </w:r>
    </w:p>
    <w:p w:rsidR="00F25DB9" w:rsidRDefault="00F25DB9" w:rsidP="00A30F69">
      <w:pPr>
        <w:rPr>
          <w:i/>
        </w:rPr>
      </w:pPr>
      <w:r>
        <w:rPr>
          <w:i/>
        </w:rPr>
        <w:t>Bemiddelingscommissie</w:t>
      </w:r>
    </w:p>
    <w:p w:rsidR="00F25DB9" w:rsidRDefault="00F25DB9" w:rsidP="00660BA1">
      <w:pPr>
        <w:jc w:val="both"/>
      </w:pPr>
      <w:r>
        <w:t xml:space="preserve">= brugfunctie tussen vrijwillige (comité) en gerechtelijke jeugdbijstand (jeugdrechtbank).  Als zij er niet in slagen een oplossing te bereiken wordt de zaak overgedragen aan het openbaar ministerie (parket) en daarna aan een jeugdrechtbank. Deze bemiddelingscommissie doen zelf niet aan hulpverlening en beschikken dus ook niet over een sociale dienst. </w:t>
      </w:r>
      <w:r w:rsidR="00463DBB">
        <w:t>De bemiddelingscommissie vormde een belangrijk schakel in het gehee</w:t>
      </w:r>
      <w:r w:rsidR="006B1464">
        <w:t xml:space="preserve">l van bijzondere jeugdbijstand omdat zij ervoor zorgden dat wanneer vrijwillige </w:t>
      </w:r>
      <w:r w:rsidR="00660BA1">
        <w:t>hulp door het comité niet aanvaard werd de zaak toch niet rechtsreeks doorstroomde naar de jeugdrechtbank.</w:t>
      </w:r>
    </w:p>
    <w:p w:rsidR="00660BA1" w:rsidRDefault="00660BA1" w:rsidP="00A30F69">
      <w:pPr>
        <w:rPr>
          <w:i/>
        </w:rPr>
      </w:pPr>
      <w:r>
        <w:rPr>
          <w:i/>
        </w:rPr>
        <w:t>De jeugdrechtbank</w:t>
      </w:r>
    </w:p>
    <w:p w:rsidR="000132B4" w:rsidRDefault="00660BA1" w:rsidP="00660BA1">
      <w:pPr>
        <w:jc w:val="both"/>
      </w:pPr>
      <w:r>
        <w:t xml:space="preserve">De jeugdrechtbank heeft beslissingsbevoegdheid over de </w:t>
      </w:r>
      <w:r w:rsidRPr="00660BA1">
        <w:rPr>
          <w:b/>
        </w:rPr>
        <w:t>burgerrechtelijke</w:t>
      </w:r>
      <w:r>
        <w:t xml:space="preserve"> (toewijzing na scheiding) bepalingen met betrekking tot minderjarigen en de </w:t>
      </w:r>
      <w:r w:rsidRPr="00660BA1">
        <w:rPr>
          <w:b/>
        </w:rPr>
        <w:t>bijstand</w:t>
      </w:r>
      <w:r>
        <w:t>, deze maatregelen bev</w:t>
      </w:r>
      <w:r w:rsidR="000132B4">
        <w:t xml:space="preserve">atten zowel </w:t>
      </w:r>
      <w:r w:rsidR="000132B4" w:rsidRPr="000132B4">
        <w:rPr>
          <w:b/>
        </w:rPr>
        <w:t>kinderen</w:t>
      </w:r>
      <w:r w:rsidR="000132B4">
        <w:t xml:space="preserve"> als </w:t>
      </w:r>
      <w:r w:rsidR="000132B4" w:rsidRPr="000132B4">
        <w:rPr>
          <w:b/>
        </w:rPr>
        <w:t>ouders</w:t>
      </w:r>
      <w:r w:rsidR="000132B4">
        <w:t xml:space="preserve"> (toezicht kinderbijslag tot ontzetting ouderlijke macht) als tussenkomsten in </w:t>
      </w:r>
      <w:r w:rsidR="000132B4" w:rsidRPr="000132B4">
        <w:rPr>
          <w:b/>
        </w:rPr>
        <w:t>problematische opvoedingssituaties</w:t>
      </w:r>
      <w:r w:rsidR="000132B4">
        <w:t xml:space="preserve"> (iets ruimer pakket maatregelen).</w:t>
      </w:r>
      <w:r>
        <w:t xml:space="preserve"> </w:t>
      </w:r>
    </w:p>
    <w:p w:rsidR="00660BA1" w:rsidRDefault="00660BA1" w:rsidP="00660BA1">
      <w:pPr>
        <w:jc w:val="both"/>
      </w:pPr>
      <w:r>
        <w:t xml:space="preserve">Aan elke jeugdrechtbank is een </w:t>
      </w:r>
      <w:r w:rsidRPr="00660BA1">
        <w:rPr>
          <w:b/>
        </w:rPr>
        <w:t>sociale</w:t>
      </w:r>
      <w:r>
        <w:t xml:space="preserve"> </w:t>
      </w:r>
      <w:r w:rsidRPr="00660BA1">
        <w:rPr>
          <w:b/>
        </w:rPr>
        <w:t>dienst</w:t>
      </w:r>
      <w:r>
        <w:t xml:space="preserve"> verbonden (zelf instaan voor hulpverlening of maatregelen opvolgen) </w:t>
      </w:r>
      <w:r>
        <w:sym w:font="Wingdings" w:char="F0E0"/>
      </w:r>
      <w:r>
        <w:t xml:space="preserve"> bemand door consulenten: zij houden de magistraten via schriftelijke evolutieverslagen op de hoogte. </w:t>
      </w:r>
    </w:p>
    <w:p w:rsidR="000132B4" w:rsidRDefault="000132B4" w:rsidP="00660BA1">
      <w:pPr>
        <w:jc w:val="both"/>
        <w:rPr>
          <w:i/>
        </w:rPr>
      </w:pPr>
      <w:r>
        <w:rPr>
          <w:i/>
        </w:rPr>
        <w:t>Belangrijkste principes binnen de aangepaste wetgeving van 1990</w:t>
      </w:r>
    </w:p>
    <w:p w:rsidR="000132B4" w:rsidRDefault="000132B4" w:rsidP="000132B4">
      <w:r>
        <w:t>Naast de uitdrukkelijke scheiding van (buiten)gerechtelijke</w:t>
      </w:r>
      <w:r w:rsidR="00856626">
        <w:t xml:space="preserve"> hulpverlening door de oprichting van comités en bemiddelingscommissies </w:t>
      </w:r>
      <w:r>
        <w:t>zijn er 4 andere principes:</w:t>
      </w:r>
      <w:r>
        <w:br/>
        <w:t xml:space="preserve">(1) Erkenning van de rechtspositie van de jongere en zijn ouders </w:t>
      </w:r>
      <w:r>
        <w:sym w:font="Wingdings" w:char="F0E0"/>
      </w:r>
      <w:r>
        <w:t xml:space="preserve"> recht op inspraak en bijstand</w:t>
      </w:r>
      <w:r>
        <w:br/>
        <w:t xml:space="preserve">Opm: bijstand </w:t>
      </w:r>
      <w:r>
        <w:rPr>
          <w:rFonts w:cstheme="minorHAnsi"/>
        </w:rPr>
        <w:t>≠</w:t>
      </w:r>
      <w:r>
        <w:t xml:space="preserve"> het vroegere bescherming </w:t>
      </w:r>
      <w:r>
        <w:sym w:font="Wingdings" w:char="F0E0"/>
      </w:r>
      <w:r>
        <w:t xml:space="preserve"> meer respectvol en ondersteunend</w:t>
      </w:r>
      <w:r>
        <w:br/>
        <w:t>Concreet: jongeren vanaf 12 jaar moeten instemmen met het hulpaanbod</w:t>
      </w:r>
    </w:p>
    <w:p w:rsidR="000132B4" w:rsidRDefault="000132B4" w:rsidP="000132B4">
      <w:r>
        <w:t>(2) Subsidiariteit</w:t>
      </w:r>
    </w:p>
    <w:p w:rsidR="000132B4" w:rsidRDefault="005161F0" w:rsidP="000132B4">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4462780</wp:posOffset>
                </wp:positionH>
                <wp:positionV relativeFrom="paragraph">
                  <wp:posOffset>248285</wp:posOffset>
                </wp:positionV>
                <wp:extent cx="295275" cy="0"/>
                <wp:effectExtent l="38100" t="76200" r="9525" b="95250"/>
                <wp:wrapNone/>
                <wp:docPr id="2" name="Rechte verbindingslijn met pijl 2"/>
                <wp:cNvGraphicFramePr/>
                <a:graphic xmlns:a="http://schemas.openxmlformats.org/drawingml/2006/main">
                  <a:graphicData uri="http://schemas.microsoft.com/office/word/2010/wordprocessingShape">
                    <wps:wsp>
                      <wps:cNvCnPr/>
                      <wps:spPr>
                        <a:xfrm>
                          <a:off x="0" y="0"/>
                          <a:ext cx="2952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74980B" id="_x0000_t32" coordsize="21600,21600" o:spt="32" o:oned="t" path="m,l21600,21600e" filled="f">
                <v:path arrowok="t" fillok="f" o:connecttype="none"/>
                <o:lock v:ext="edit" shapetype="t"/>
              </v:shapetype>
              <v:shape id="Rechte verbindingslijn met pijl 2" o:spid="_x0000_s1026" type="#_x0000_t32" style="position:absolute;margin-left:351.4pt;margin-top:19.55pt;width: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RE5AEAACIEAAAOAAAAZHJzL2Uyb0RvYy54bWysU8mOEzEQvSPxD5bvpJOWhiVKZw4Z4IIg&#10;GoYPcNzltEfeVC6y/D1ld9KDYIQE4lLdXt6req/Kq9uTd+IAmG0MnVzM5lJA0LG3Yd/Jbw8fXr2V&#10;IpMKvXIxQCfPkOXt+uWL1TEtoY1DdD2gYJKQl8fUyYEoLZsm6wG8yrOYIPChiegV8RL3TY/qyOze&#10;Ne18/ro5RuwTRg058+7deCjXld8Y0PTFmAwkXCe5NqoRa9yV2KxXarlHlQarL2Wof6jCKxs46UR1&#10;p0iJ72h/o/JWY8zR0ExH30RjrIaqgdUs5r+o+TqoBFULm5PTZFP+f7T682GLwvadbKUIynOL7kEP&#10;BKWpOxtKI7Ozj0F4NjHZRyfaYtox5SVjN2GLl1VOWywOnAz68mVt4lSNPk9Gw4mE5s323U375kYK&#10;fT1qnnAJM32E6EX56WQmVHY/0CaGwN2MuKg+q8OnTJyZgVdASepCiQOo/n3oBZ0T6yG0KuwdjL0m&#10;Zd3zZ0xV4E2RNoqpf3R2MFLfg2GnuPyxhDqjsHEoDoqnS2kNgRYlS2Xi2wVmrHMTcF5r/yPwcr9A&#10;oc7v34AnRM0cA01gb0PE57LT6VqyGe9fHRh1Fwt2sT/XNldreBCrwsujKZP+87rCn572+gcAAAD/&#10;/wMAUEsDBBQABgAIAAAAIQBKQJtV3wAAAAkBAAAPAAAAZHJzL2Rvd25yZXYueG1sTI/BTsMwEETv&#10;SPyDtUjcqNMU0jaNU1WVuIBUlcIHbONtHDVeR7HbBL4eIw5w3NnRzJtiPdpWXKn3jWMF00kCgrhy&#10;uuFawcf788MChA/IGlvHpOCTPKzL25sCc+0GfqPrIdQihrDPUYEJocul9JUhi37iOuL4O7neYohn&#10;X0vd4xDDbSvTJMmkxYZjg8GOtoaq8+FiFfj+a8jck8HXXWoz/3LebHeLvVL3d+NmBSLQGP7M8IMf&#10;0aGMTEd3Ye1Fq2CepBE9KJgtpyCiYf64nIE4/gqyLOT/BeU3AAAA//8DAFBLAQItABQABgAIAAAA&#10;IQC2gziS/gAAAOEBAAATAAAAAAAAAAAAAAAAAAAAAABbQ29udGVudF9UeXBlc10ueG1sUEsBAi0A&#10;FAAGAAgAAAAhADj9If/WAAAAlAEAAAsAAAAAAAAAAAAAAAAALwEAAF9yZWxzLy5yZWxzUEsBAi0A&#10;FAAGAAgAAAAhAFyttETkAQAAIgQAAA4AAAAAAAAAAAAAAAAALgIAAGRycy9lMm9Eb2MueG1sUEsB&#10;Ai0AFAAGAAgAAAAhAEpAm1XfAAAACQEAAA8AAAAAAAAAAAAAAAAAPgQAAGRycy9kb3ducmV2Lnht&#10;bFBLBQYAAAAABAAEAPMAAABKBQAAAAA=&#10;" strokecolor="#549e39 [3204]" strokeweight="1pt">
                <v:stroke startarrow="block" endarrow="block" endcap="round"/>
              </v:shape>
            </w:pict>
          </mc:Fallback>
        </mc:AlternateContent>
      </w:r>
      <w:r w:rsidR="000132B4">
        <w:t xml:space="preserve">(3) Differentiatie van het zorgaanbod </w:t>
      </w:r>
      <w:r w:rsidR="000132B4">
        <w:sym w:font="Wingdings" w:char="F0E0"/>
      </w:r>
      <w:r w:rsidR="000132B4">
        <w:t xml:space="preserve"> aanbieden breed gamma maakt zorg op maat mogelijk</w:t>
      </w:r>
      <w:r w:rsidR="000132B4">
        <w:br/>
        <w:t>Concreet: OV financiert innovatieve</w:t>
      </w:r>
      <w:r>
        <w:t xml:space="preserve"> ambulante en semi-residentiële</w:t>
      </w:r>
      <w:r w:rsidR="000132B4">
        <w:t xml:space="preserve"> projecten</w:t>
      </w:r>
      <w:r>
        <w:t xml:space="preserve"> </w:t>
      </w:r>
      <w:r>
        <w:tab/>
      </w:r>
      <w:r>
        <w:tab/>
        <w:t>afbouwen residentiële aanbod</w:t>
      </w:r>
    </w:p>
    <w:p w:rsidR="00856626" w:rsidRDefault="005161F0" w:rsidP="000132B4">
      <w:r>
        <w:t xml:space="preserve">(4) Gezinsgericht werken </w:t>
      </w:r>
      <w:r w:rsidR="00856626">
        <w:t>(= primair opvoedingsmilieu)</w:t>
      </w:r>
      <w:r w:rsidR="00856626">
        <w:br/>
      </w:r>
    </w:p>
    <w:p w:rsidR="00856626" w:rsidRDefault="00856626" w:rsidP="000132B4">
      <w:pPr>
        <w:rPr>
          <w:u w:val="single"/>
        </w:rPr>
      </w:pPr>
      <w:r>
        <w:rPr>
          <w:u w:val="single"/>
        </w:rPr>
        <w:lastRenderedPageBreak/>
        <w:t>2.1.4</w:t>
      </w:r>
      <w:r>
        <w:rPr>
          <w:u w:val="single"/>
        </w:rPr>
        <w:tab/>
        <w:t>De wet op de jeugdbescherming van 15 mei 2006</w:t>
      </w:r>
    </w:p>
    <w:p w:rsidR="00856626" w:rsidRDefault="002B41CB" w:rsidP="002B41CB">
      <w:pPr>
        <w:jc w:val="both"/>
      </w:pPr>
      <w:r>
        <w:t xml:space="preserve">De aanpak van de jeugdzorg op Vlaams niveau kan niet losgekoppeld worden van de discussies over de hervorming van de jeugdbeschermingswet op federaal niveau </w:t>
      </w:r>
      <w:r>
        <w:sym w:font="Wingdings" w:char="F0E0"/>
      </w:r>
      <w:r>
        <w:t xml:space="preserve"> Vraag: Hoe pakken we jeugddelinquentie aan? In 2006 kreeg het hervormingsdebat vorm door de goedkeuring van 2 wetten.</w:t>
      </w:r>
    </w:p>
    <w:p w:rsidR="002B41CB" w:rsidRDefault="0068634E" w:rsidP="002B41CB">
      <w:pPr>
        <w:jc w:val="both"/>
        <w:rPr>
          <w:b/>
        </w:rPr>
      </w:pPr>
      <w:r>
        <w:rPr>
          <w:b/>
        </w:rPr>
        <w:t>De situatie voor deze wet</w:t>
      </w:r>
    </w:p>
    <w:p w:rsidR="0068634E" w:rsidRDefault="0068634E" w:rsidP="002B41CB">
      <w:pPr>
        <w:jc w:val="both"/>
      </w:pPr>
      <w:r>
        <w:t xml:space="preserve">Het </w:t>
      </w:r>
      <w:r w:rsidRPr="0068634E">
        <w:rPr>
          <w:i/>
        </w:rPr>
        <w:t>beschermingsmodel</w:t>
      </w:r>
      <w:r>
        <w:t xml:space="preserve"> van 1965 werd bekritiseerd waardoor er nieuwe initiatieven kwam om de dader de schade te laten en herstellen en inzicht te verwerven int eigen handelen. De Vlaamse OV opteerde voor een ‘sui generis’ of geen apart jeugdsanctierecht.</w:t>
      </w:r>
    </w:p>
    <w:p w:rsidR="0068634E" w:rsidRDefault="0068634E" w:rsidP="002B41CB">
      <w:pPr>
        <w:jc w:val="both"/>
      </w:pPr>
      <w:r w:rsidRPr="0068634E">
        <w:rPr>
          <w:i/>
        </w:rPr>
        <w:t>Herstelrecht</w:t>
      </w:r>
      <w:r>
        <w:rPr>
          <w:i/>
        </w:rPr>
        <w:t xml:space="preserve"> </w:t>
      </w:r>
      <w:r>
        <w:t xml:space="preserve">wil werk maken van een justitie die ruimte creëert voor inspraak van de rechtsreeks betrokkenen via een communicatieproces waarbij zij gevoelens en verhalen uitwisselen. </w:t>
      </w:r>
    </w:p>
    <w:p w:rsidR="0068634E" w:rsidRDefault="0068634E" w:rsidP="002B41CB">
      <w:pPr>
        <w:jc w:val="both"/>
      </w:pPr>
      <w:r>
        <w:t xml:space="preserve">Door de oprichting vh gesloten federaal centrum ‘De Grubbe’ in Everberg kwam de sanctionering van minderjarigen nadrukkelijk op de voorgrond. </w:t>
      </w:r>
    </w:p>
    <w:p w:rsidR="0068634E" w:rsidRDefault="0068634E" w:rsidP="002B41CB">
      <w:pPr>
        <w:jc w:val="both"/>
      </w:pPr>
      <w:r>
        <w:rPr>
          <w:b/>
        </w:rPr>
        <w:t xml:space="preserve">De aangepaste wet van 2006 </w:t>
      </w:r>
      <w:r>
        <w:t xml:space="preserve">kan als een </w:t>
      </w:r>
      <w:r>
        <w:rPr>
          <w:b/>
        </w:rPr>
        <w:t>compromis</w:t>
      </w:r>
      <w:r>
        <w:t xml:space="preserve"> beschouwd worden. Enerzijds een verstrenging van de maatregelen in geval van een MOF, anderzijds de nodige ingebouwde mechanismen om de rechtpositie beter te beschermen en de hulpverleningsmogelijkheden te maximaliseren. </w:t>
      </w:r>
    </w:p>
    <w:p w:rsidR="002A213E" w:rsidRDefault="002A213E" w:rsidP="002A213E">
      <w:pPr>
        <w:pStyle w:val="Lijstalinea"/>
        <w:numPr>
          <w:ilvl w:val="0"/>
          <w:numId w:val="2"/>
        </w:numPr>
        <w:jc w:val="both"/>
      </w:pPr>
      <w:r>
        <w:t>Titelverandering</w:t>
      </w:r>
    </w:p>
    <w:p w:rsidR="002A213E" w:rsidRDefault="002A213E" w:rsidP="002A213E">
      <w:pPr>
        <w:pStyle w:val="Lijstalinea"/>
        <w:numPr>
          <w:ilvl w:val="0"/>
          <w:numId w:val="2"/>
        </w:numPr>
        <w:jc w:val="both"/>
      </w:pPr>
      <w:r>
        <w:t>Mogelijkheid tot verplichting ouderstage (weer afgeschaft)</w:t>
      </w:r>
    </w:p>
    <w:p w:rsidR="002A213E" w:rsidRDefault="002A213E" w:rsidP="002A213E">
      <w:pPr>
        <w:pStyle w:val="Lijstalinea"/>
        <w:numPr>
          <w:ilvl w:val="0"/>
          <w:numId w:val="2"/>
        </w:numPr>
        <w:jc w:val="both"/>
      </w:pPr>
      <w:r>
        <w:t>Maatregelen kinderen uitgebreid ifv specifieke problemen, behoud in leefomgeving mits voorwaarden en de minderjarige kan zelf een project voorleggen</w:t>
      </w:r>
    </w:p>
    <w:p w:rsidR="002A213E" w:rsidRDefault="002A213E" w:rsidP="002A213E">
      <w:pPr>
        <w:pStyle w:val="Lijstalinea"/>
        <w:numPr>
          <w:ilvl w:val="0"/>
          <w:numId w:val="2"/>
        </w:numPr>
        <w:jc w:val="both"/>
      </w:pPr>
      <w:r>
        <w:t>Herstelrechterlijk aanbod verdient steeds de voorkeur + voorzien van wettelijke basis</w:t>
      </w:r>
    </w:p>
    <w:p w:rsidR="002A213E" w:rsidRDefault="002A213E" w:rsidP="002A213E">
      <w:pPr>
        <w:pStyle w:val="Lijstalinea"/>
        <w:numPr>
          <w:ilvl w:val="0"/>
          <w:numId w:val="2"/>
        </w:numPr>
        <w:jc w:val="both"/>
      </w:pPr>
      <w:r>
        <w:t>Voorwaarden tot plaatsing in een gemeenschapsinstelling werden verstrengd: Open instelling vanaf 12j als er een MOF is gepleeg waarvoor +18 min. 3jaar zouden krijgen. Gesloten instelling vanaf 14j op voorwaarde dat het om ernstige feiten gaat waarop +18 straffen staan van 5jaar.</w:t>
      </w:r>
    </w:p>
    <w:p w:rsidR="002A213E" w:rsidRDefault="002A213E" w:rsidP="002A213E">
      <w:pPr>
        <w:pStyle w:val="Lijstalinea"/>
        <w:numPr>
          <w:ilvl w:val="0"/>
          <w:numId w:val="2"/>
        </w:numPr>
        <w:jc w:val="both"/>
      </w:pPr>
      <w:r>
        <w:t>Versterking rechtspositie: recht op een advocaat en +12j moeten gehoord worden</w:t>
      </w:r>
      <w:r w:rsidR="0012032D">
        <w:t xml:space="preserve"> door rechter</w:t>
      </w:r>
    </w:p>
    <w:p w:rsidR="0012032D" w:rsidRDefault="0012032D" w:rsidP="002A213E">
      <w:pPr>
        <w:pStyle w:val="Lijstalinea"/>
        <w:numPr>
          <w:ilvl w:val="0"/>
          <w:numId w:val="2"/>
        </w:numPr>
        <w:jc w:val="both"/>
      </w:pPr>
      <w:r>
        <w:t>Uithandengeving aangepast: mits motivering kan de jeugdrechter de zaak uit handen geven, zelf na dat de persoon 18 jaar is geworden.</w:t>
      </w:r>
    </w:p>
    <w:p w:rsidR="0012032D" w:rsidRDefault="0012032D" w:rsidP="0012032D">
      <w:pPr>
        <w:jc w:val="both"/>
        <w:rPr>
          <w:u w:val="single"/>
        </w:rPr>
      </w:pPr>
      <w:r>
        <w:rPr>
          <w:u w:val="single"/>
        </w:rPr>
        <w:t>3.</w:t>
      </w:r>
      <w:r>
        <w:rPr>
          <w:u w:val="single"/>
        </w:rPr>
        <w:tab/>
        <w:t>Organisatie van de hulpverlening vanuit jongerenwelzijn</w:t>
      </w:r>
    </w:p>
    <w:p w:rsidR="0012032D" w:rsidRDefault="0013597F" w:rsidP="0012032D">
      <w:pPr>
        <w:jc w:val="both"/>
      </w:pPr>
      <w:r w:rsidRPr="0013597F">
        <w:t xml:space="preserve">In wat volgt is een </w:t>
      </w:r>
      <w:r w:rsidRPr="0013597F">
        <w:rPr>
          <w:b/>
        </w:rPr>
        <w:t>onderscheid</w:t>
      </w:r>
      <w:r w:rsidRPr="0013597F">
        <w:t xml:space="preserve"> tussen </w:t>
      </w:r>
      <w:r w:rsidRPr="0013597F">
        <w:rPr>
          <w:b/>
        </w:rPr>
        <w:t>organisatorische</w:t>
      </w:r>
      <w:r w:rsidRPr="0013597F">
        <w:t xml:space="preserve"> en </w:t>
      </w:r>
      <w:r w:rsidRPr="0013597F">
        <w:rPr>
          <w:b/>
        </w:rPr>
        <w:t>inhoudelijke</w:t>
      </w:r>
      <w:r w:rsidRPr="0013597F">
        <w:t xml:space="preserve"> invullingen van het zorgaanbod van belang. Tot 2012 had men enkel oog voor de organisatorische kant, in 2012 vertrekt men van de inhoudelijke opdeling obv modules. Toch blijven zij hedendaags naast elkaar bestaan.</w:t>
      </w:r>
    </w:p>
    <w:p w:rsidR="0013597F" w:rsidRDefault="0013597F" w:rsidP="0012032D">
      <w:pPr>
        <w:jc w:val="both"/>
        <w:rPr>
          <w:u w:val="single"/>
        </w:rPr>
      </w:pPr>
      <w:r>
        <w:rPr>
          <w:u w:val="single"/>
        </w:rPr>
        <w:t>3.1</w:t>
      </w:r>
      <w:r>
        <w:rPr>
          <w:u w:val="single"/>
        </w:rPr>
        <w:tab/>
        <w:t>Toeleiding tot de jeugdhulpverlening</w:t>
      </w:r>
    </w:p>
    <w:p w:rsidR="0013597F" w:rsidRDefault="000E47E5" w:rsidP="0012032D">
      <w:pPr>
        <w:jc w:val="both"/>
      </w:pPr>
      <w:r>
        <w:t xml:space="preserve">De toegang in situaties van verontrusting verloopt via </w:t>
      </w:r>
      <w:r>
        <w:rPr>
          <w:b/>
        </w:rPr>
        <w:t>gemandateerde voorzieningen</w:t>
      </w:r>
      <w:r>
        <w:t xml:space="preserve"> (VK en OCJ = Ondersteuningscentra Jeugdzorg). Zij onderzoeken of er sprake is van een </w:t>
      </w:r>
      <w:r>
        <w:rPr>
          <w:b/>
        </w:rPr>
        <w:t xml:space="preserve">maatschappelijke noodzaak </w:t>
      </w:r>
      <w:r w:rsidR="0048195D">
        <w:t xml:space="preserve">(MANO) = ontwikkelingskansen in het gedrang en de integriteit geschonden. Met de vernieuwing van het landschap hebben de gemandateerde voorzieningen een centrale positie tussen RTH en NRTH. De OCJ’s hebben een scharnierfunctie tussen (buiten)gerechtelijke hulp. </w:t>
      </w:r>
    </w:p>
    <w:tbl>
      <w:tblPr>
        <w:tblStyle w:val="Tabelraster"/>
        <w:tblW w:w="0" w:type="auto"/>
        <w:tblLook w:val="04A0" w:firstRow="1" w:lastRow="0" w:firstColumn="1" w:lastColumn="0" w:noHBand="0" w:noVBand="1"/>
      </w:tblPr>
      <w:tblGrid>
        <w:gridCol w:w="4163"/>
      </w:tblGrid>
      <w:tr w:rsidR="0048195D" w:rsidTr="0048195D">
        <w:tc>
          <w:tcPr>
            <w:tcW w:w="4163" w:type="dxa"/>
          </w:tcPr>
          <w:p w:rsidR="0048195D" w:rsidRDefault="0048195D" w:rsidP="0012032D">
            <w:pPr>
              <w:jc w:val="both"/>
            </w:pPr>
            <w:r>
              <w:t>Contact met gemandateerde voorzieningen</w:t>
            </w:r>
          </w:p>
        </w:tc>
      </w:tr>
    </w:tbl>
    <w:p w:rsidR="0048195D" w:rsidRDefault="0048195D" w:rsidP="0048195D">
      <w:pPr>
        <w:jc w:val="both"/>
      </w:pPr>
      <w:r>
        <w:t xml:space="preserve">1) Consultfunctie: enkel mogelijk voor professionele hulpverleners (=anoniem geg. Cliënt) </w:t>
      </w:r>
      <w:r>
        <w:sym w:font="Wingdings" w:char="F0E0"/>
      </w:r>
      <w:r>
        <w:t>telefonisch</w:t>
      </w:r>
      <w:r>
        <w:br/>
        <w:t>Eerst een analyse van de situatie; werkhypothese; advies; anticiperen toekomstige problemen</w:t>
      </w:r>
    </w:p>
    <w:p w:rsidR="0048195D" w:rsidRDefault="0048195D" w:rsidP="0048195D">
      <w:pPr>
        <w:jc w:val="both"/>
      </w:pPr>
      <w:r>
        <w:t>2) Parket: nagaan of diepgaander onderzoek nodig is, procureur beslist door te verwijzen naar het OCJ</w:t>
      </w:r>
    </w:p>
    <w:p w:rsidR="0048195D" w:rsidRDefault="0048195D" w:rsidP="0048195D">
      <w:pPr>
        <w:jc w:val="both"/>
      </w:pPr>
      <w:r>
        <w:t xml:space="preserve">3) Online aanmelding bij een gemandateerde voorziening via een Adocument, cliënt moet op de hoogte zijn </w:t>
      </w:r>
      <w:r>
        <w:sym w:font="Wingdings" w:char="F0E0"/>
      </w:r>
      <w:r>
        <w:t xml:space="preserve"> vrijwillige hulpverlening</w:t>
      </w:r>
    </w:p>
    <w:tbl>
      <w:tblPr>
        <w:tblStyle w:val="Tabelraster"/>
        <w:tblW w:w="0" w:type="auto"/>
        <w:tblLook w:val="04A0" w:firstRow="1" w:lastRow="0" w:firstColumn="1" w:lastColumn="0" w:noHBand="0" w:noVBand="1"/>
      </w:tblPr>
      <w:tblGrid>
        <w:gridCol w:w="4998"/>
      </w:tblGrid>
      <w:tr w:rsidR="0048195D" w:rsidTr="0048195D">
        <w:tc>
          <w:tcPr>
            <w:tcW w:w="4998" w:type="dxa"/>
          </w:tcPr>
          <w:p w:rsidR="0048195D" w:rsidRDefault="0048195D" w:rsidP="0048195D">
            <w:pPr>
              <w:jc w:val="both"/>
            </w:pPr>
            <w:r>
              <w:lastRenderedPageBreak/>
              <w:t>Verloop onderzoek door gemandateerde voorziening</w:t>
            </w:r>
          </w:p>
        </w:tc>
      </w:tr>
    </w:tbl>
    <w:p w:rsidR="00945333" w:rsidRDefault="00945333" w:rsidP="0048195D">
      <w:pPr>
        <w:jc w:val="both"/>
      </w:pPr>
      <w:r>
        <w:t xml:space="preserve">Alle perspectieven als ook de geschiedenis wordt in beeld gebracht </w:t>
      </w:r>
      <w:r>
        <w:sym w:font="Wingdings" w:char="F0E0"/>
      </w:r>
      <w:r>
        <w:t xml:space="preserve"> focus op wat effectief werkte</w:t>
      </w:r>
      <w:r>
        <w:br/>
        <w:t>De teambeslissing beslist of dit een MANO is of niet. NRTH verloopt dan via de intersectorale toegangspoort, bij  RTH komt men terecht bij het CLB of JAC en ten slotte kan er doorverwezen worden naar de jeugdrechtbank.</w:t>
      </w:r>
    </w:p>
    <w:p w:rsidR="00945333" w:rsidRDefault="00945333" w:rsidP="0048195D">
      <w:pPr>
        <w:jc w:val="both"/>
      </w:pPr>
      <w:r>
        <w:t xml:space="preserve">Jongere en gezin hebben hierbij 1 aanspreekpunt </w:t>
      </w:r>
      <w:r>
        <w:sym w:font="Wingdings" w:char="F0E0"/>
      </w:r>
      <w:r>
        <w:t xml:space="preserve"> consulent van OCJ. Verder is het OCJ verantwoordelijk voor het opvolgen van het hulpverleningstraject. </w:t>
      </w:r>
    </w:p>
    <w:p w:rsidR="00945333" w:rsidRDefault="00945333" w:rsidP="0048195D">
      <w:pPr>
        <w:jc w:val="both"/>
        <w:rPr>
          <w:u w:val="single"/>
        </w:rPr>
      </w:pPr>
      <w:r>
        <w:rPr>
          <w:u w:val="single"/>
        </w:rPr>
        <w:t>3.2</w:t>
      </w:r>
      <w:r>
        <w:rPr>
          <w:u w:val="single"/>
        </w:rPr>
        <w:tab/>
        <w:t>Het hulpverleningsaanbod</w:t>
      </w:r>
    </w:p>
    <w:tbl>
      <w:tblPr>
        <w:tblStyle w:val="Tabelraster"/>
        <w:tblW w:w="0" w:type="auto"/>
        <w:tblLook w:val="04A0" w:firstRow="1" w:lastRow="0" w:firstColumn="1" w:lastColumn="0" w:noHBand="0" w:noVBand="1"/>
      </w:tblPr>
      <w:tblGrid>
        <w:gridCol w:w="2029"/>
      </w:tblGrid>
      <w:tr w:rsidR="00945333" w:rsidTr="00945333">
        <w:tc>
          <w:tcPr>
            <w:tcW w:w="2029" w:type="dxa"/>
          </w:tcPr>
          <w:p w:rsidR="00945333" w:rsidRDefault="00945333" w:rsidP="0048195D">
            <w:pPr>
              <w:jc w:val="both"/>
            </w:pPr>
            <w:r>
              <w:t>Privévoorzieningen</w:t>
            </w:r>
          </w:p>
        </w:tc>
      </w:tr>
    </w:tbl>
    <w:p w:rsidR="00945333" w:rsidRDefault="00945333" w:rsidP="0048195D">
      <w:pPr>
        <w:jc w:val="both"/>
      </w:pPr>
      <w:r>
        <w:t xml:space="preserve">Sinds 2013 spreekt men niet meer over categorieën maar in termen van </w:t>
      </w:r>
      <w:r>
        <w:rPr>
          <w:b/>
        </w:rPr>
        <w:t>modules van het zorgaanbod</w:t>
      </w:r>
      <w:r>
        <w:t>. Elke voorziening</w:t>
      </w:r>
      <w:r w:rsidR="00FF6EE2">
        <w:t xml:space="preserve"> heeft zijn hulpaa</w:t>
      </w:r>
      <w:r w:rsidR="00FC0C2B">
        <w:t>nbod omschreven in typemodules (verblijf, dagbesteding, ondersteuning en contextbegeleiding).</w:t>
      </w:r>
    </w:p>
    <w:p w:rsidR="00FC0C2B" w:rsidRDefault="00FC0C2B" w:rsidP="0048195D">
      <w:pPr>
        <w:jc w:val="both"/>
        <w:rPr>
          <w:b/>
        </w:rPr>
      </w:pPr>
      <w:r>
        <w:rPr>
          <w:b/>
        </w:rPr>
        <w:t>MFC</w:t>
      </w:r>
    </w:p>
    <w:p w:rsidR="00FC0C2B" w:rsidRDefault="00FC0C2B" w:rsidP="0048195D">
      <w:pPr>
        <w:jc w:val="both"/>
      </w:pPr>
      <w:r>
        <w:t>Om de zorg meer te flexibiliseren was dit één van de concrete doelstellingen. Er wordt trajectmatig gewerkt en er worden naadloze overgangen beoogt tussen diensten –&gt; beter inspelen op  de evolutie vd cliënt, er moet dus constante vraagverheldering zijn enerzijds en anderzijds moeten zij hier creatief mee omgaan in het hulpverleningsaanbod. Dit aanbod is minimaal: begeleidingsfunctie, dagbesteding en verblijffunctie.</w:t>
      </w:r>
    </w:p>
    <w:p w:rsidR="00FC0C2B" w:rsidRDefault="00FC0C2B" w:rsidP="0048195D">
      <w:pPr>
        <w:jc w:val="both"/>
      </w:pPr>
      <w:r>
        <w:t xml:space="preserve">Na positieve evaluatie vd proefprojecten werden deze geïmplementeerd in het Experimenteel Modulair Kader. Voor kleinere voorzieningen is dit werken in modules wel moeilijk, dit is ook de reden voor de vele fusies. </w:t>
      </w:r>
    </w:p>
    <w:p w:rsidR="00FC0C2B" w:rsidRDefault="00FC0C2B" w:rsidP="0048195D">
      <w:pPr>
        <w:jc w:val="both"/>
      </w:pPr>
      <w:r>
        <w:rPr>
          <w:b/>
        </w:rPr>
        <w:t>De klassieke voorzieningen</w:t>
      </w:r>
      <w:r>
        <w:t xml:space="preserve"> (die nog enige tijd zullen doorwerken)</w:t>
      </w:r>
    </w:p>
    <w:p w:rsidR="003A237D" w:rsidRDefault="00FC0C2B" w:rsidP="00FC0C2B">
      <w:r>
        <w:t>1) Begeleidingstehuizen</w:t>
      </w:r>
      <w:r>
        <w:br/>
        <w:t>2) Gezinstehuizen</w:t>
      </w:r>
      <w:r>
        <w:br/>
        <w:t>3) Onthaal, oriëntatie- en observatiecentra</w:t>
      </w:r>
      <w:r>
        <w:br/>
        <w:t>4) Dagcentra</w:t>
      </w:r>
      <w:r>
        <w:br/>
        <w:t>5) Thuisbegeleidingsdiensten</w:t>
      </w:r>
      <w:r>
        <w:br/>
        <w:t>6) Dienst voor zelfstandig wonen</w:t>
      </w:r>
      <w:r>
        <w:br/>
        <w:t xml:space="preserve">7) </w:t>
      </w:r>
      <w:r w:rsidR="003A237D">
        <w:t>Pleegzorg</w:t>
      </w:r>
      <w:r w:rsidR="003A237D">
        <w:br/>
        <w:t>8) Diensten voor herstelgerichte en constructieve afhandelingen</w:t>
      </w:r>
      <w:r w:rsidR="003A237D">
        <w:br/>
        <w:t>9) Crisishulp aan huis</w:t>
      </w:r>
    </w:p>
    <w:tbl>
      <w:tblPr>
        <w:tblStyle w:val="Tabelraster"/>
        <w:tblW w:w="0" w:type="auto"/>
        <w:tblLook w:val="04A0" w:firstRow="1" w:lastRow="0" w:firstColumn="1" w:lastColumn="0" w:noHBand="0" w:noVBand="1"/>
      </w:tblPr>
      <w:tblGrid>
        <w:gridCol w:w="1173"/>
      </w:tblGrid>
      <w:tr w:rsidR="003A237D" w:rsidTr="003A237D">
        <w:tc>
          <w:tcPr>
            <w:tcW w:w="1173" w:type="dxa"/>
          </w:tcPr>
          <w:p w:rsidR="003A237D" w:rsidRDefault="003A237D" w:rsidP="00FC0C2B">
            <w:r>
              <w:t>Projecten</w:t>
            </w:r>
          </w:p>
        </w:tc>
      </w:tr>
    </w:tbl>
    <w:p w:rsidR="003A237D" w:rsidRDefault="003A237D" w:rsidP="003A237D">
      <w:r>
        <w:t xml:space="preserve">Experimentele initiatieven die een aanvulling vormen op het klassieke aanbod van privévoorzieningen en gemeenschapsinstellingen. Er zijn, obv de doelstelling, </w:t>
      </w:r>
      <w:r w:rsidRPr="003A237D">
        <w:rPr>
          <w:b/>
        </w:rPr>
        <w:t>4</w:t>
      </w:r>
      <w:r>
        <w:t xml:space="preserve"> grote </w:t>
      </w:r>
      <w:r w:rsidRPr="003A237D">
        <w:rPr>
          <w:b/>
        </w:rPr>
        <w:t>groepen</w:t>
      </w:r>
      <w:r>
        <w:t xml:space="preserve"> projecten: </w:t>
      </w:r>
      <w:r>
        <w:br/>
        <w:t>- Preventieve of plaatsingsvermijdende projecten</w:t>
      </w:r>
      <w:r>
        <w:br/>
        <w:t>- Projecten ter ondersteuning van het reguliere aanbod</w:t>
      </w:r>
      <w:r>
        <w:br/>
        <w:t>- Intensieve begeleiding voor moeilijk bereikbare jongeren/gezinnen</w:t>
      </w:r>
      <w:r>
        <w:br/>
        <w:t>- Projecten herstelgerechterlijke en constructieve afhandeling</w:t>
      </w:r>
    </w:p>
    <w:p w:rsidR="003A237D" w:rsidRDefault="003A237D" w:rsidP="003A237D">
      <w:pPr>
        <w:rPr>
          <w:b/>
        </w:rPr>
      </w:pPr>
      <w:r>
        <w:rPr>
          <w:b/>
        </w:rPr>
        <w:t>Ontheming</w:t>
      </w:r>
    </w:p>
    <w:p w:rsidR="003A237D" w:rsidRDefault="003A237D" w:rsidP="00A025E8">
      <w:pPr>
        <w:jc w:val="both"/>
      </w:pPr>
      <w:r>
        <w:t xml:space="preserve">= verre voet- en fietstochten. Doelgroep = herhaaldelijk geplaatste jongeren voor wie andere maatregelen nog weinig effectief zijn </w:t>
      </w:r>
      <w:r>
        <w:sym w:font="Wingdings" w:char="F0E0"/>
      </w:r>
      <w:r>
        <w:t xml:space="preserve"> hen ruimte bieden om na te denken</w:t>
      </w:r>
    </w:p>
    <w:p w:rsidR="003A237D" w:rsidRDefault="003A237D" w:rsidP="003A237D">
      <w:pPr>
        <w:rPr>
          <w:b/>
        </w:rPr>
      </w:pPr>
    </w:p>
    <w:p w:rsidR="003A237D" w:rsidRDefault="003A237D" w:rsidP="003A237D">
      <w:pPr>
        <w:rPr>
          <w:b/>
        </w:rPr>
      </w:pPr>
      <w:r>
        <w:rPr>
          <w:b/>
        </w:rPr>
        <w:lastRenderedPageBreak/>
        <w:t>Ervaringsgerichte begeleiding</w:t>
      </w:r>
    </w:p>
    <w:p w:rsidR="003A237D" w:rsidRDefault="003A237D" w:rsidP="00A025E8">
      <w:pPr>
        <w:jc w:val="both"/>
      </w:pPr>
      <w:r>
        <w:t xml:space="preserve">Er zijn verschillende projecten met elk een specifieke uitwerking, een bekend project is het CANO-project van VZW Oranjehuis </w:t>
      </w:r>
      <w:r>
        <w:sym w:font="Wingdings" w:char="F0E0"/>
      </w:r>
      <w:r>
        <w:t xml:space="preserve"> Zeer strikte en gestructureerde begeleiding van minderjarigen in hun eigen leefomgeving. Het doel is de verbroken banden te herstellen of verzachten. </w:t>
      </w:r>
    </w:p>
    <w:p w:rsidR="003911A2" w:rsidRDefault="003911A2" w:rsidP="003A237D">
      <w:pPr>
        <w:rPr>
          <w:b/>
        </w:rPr>
      </w:pPr>
      <w:r>
        <w:rPr>
          <w:b/>
        </w:rPr>
        <w:t>Time out projecten</w:t>
      </w:r>
    </w:p>
    <w:p w:rsidR="003911A2" w:rsidRDefault="003911A2" w:rsidP="00A025E8">
      <w:pPr>
        <w:jc w:val="both"/>
      </w:pPr>
      <w:r>
        <w:t xml:space="preserve">Wordt gebruikt wanneer de begeleiding dreigt vast te lopen (1à2 weken). Door afstand te nemen kunnen jongeren en hun begeleiders hun relatie tegenover elkaar analyseren en evalueren. </w:t>
      </w:r>
    </w:p>
    <w:p w:rsidR="003911A2" w:rsidRDefault="003911A2" w:rsidP="003A237D">
      <w:pPr>
        <w:rPr>
          <w:u w:val="single"/>
        </w:rPr>
      </w:pPr>
      <w:r>
        <w:rPr>
          <w:u w:val="single"/>
        </w:rPr>
        <w:t>3.2.3</w:t>
      </w:r>
      <w:r>
        <w:rPr>
          <w:u w:val="single"/>
        </w:rPr>
        <w:tab/>
        <w:t>Gemeenschapsinstellingen van de Vlaamse Gemeenschap</w:t>
      </w:r>
    </w:p>
    <w:p w:rsidR="003911A2" w:rsidRDefault="003911A2" w:rsidP="003A237D">
      <w:pPr>
        <w:rPr>
          <w:b/>
        </w:rPr>
      </w:pPr>
      <w:r>
        <w:rPr>
          <w:b/>
        </w:rPr>
        <w:t>Capaciteit</w:t>
      </w:r>
    </w:p>
    <w:p w:rsidR="003911A2" w:rsidRDefault="003911A2" w:rsidP="003A237D">
      <w:r>
        <w:t>In vlaanderen zijn er 2 gemeenschapsinstellingen bestaand uit telkens 2 campussen, in totaal zijn er 249 plaatsen beschikbaar.</w:t>
      </w:r>
    </w:p>
    <w:p w:rsidR="003911A2" w:rsidRDefault="003911A2" w:rsidP="003A237D">
      <w:pPr>
        <w:rPr>
          <w:b/>
        </w:rPr>
      </w:pPr>
      <w:r>
        <w:rPr>
          <w:b/>
        </w:rPr>
        <w:t>Voorwaarden tot plaatsing</w:t>
      </w:r>
    </w:p>
    <w:p w:rsidR="00320F17" w:rsidRDefault="0034092D" w:rsidP="00320F17">
      <w:r>
        <w:t>Kan enkel door de jeugdrechter</w:t>
      </w:r>
      <w:r w:rsidR="00320F17">
        <w:t xml:space="preserve"> als de minderjarige een MOF heeft gepleegd of zich in een problematische opvoedingssituatie (POS) bevindt.</w:t>
      </w:r>
      <w:r w:rsidR="00320F17">
        <w:br/>
      </w:r>
      <w:r w:rsidR="00320F17">
        <w:br/>
      </w:r>
      <w:r w:rsidR="00320F17" w:rsidRPr="00320F17">
        <w:rPr>
          <w:u w:val="single"/>
        </w:rPr>
        <w:t>Opm</w:t>
      </w:r>
      <w:r w:rsidR="00320F17">
        <w:t xml:space="preserve">: sinds het decreet IJH is POS vervangen door ‘verontrustende situatie’ vanuit zowel pedagogische als juridisch oogpunt en omdat de maatschappelijke noodzaak in dit decreet centraal staat. </w:t>
      </w:r>
    </w:p>
    <w:p w:rsidR="003911A2" w:rsidRDefault="00320F17" w:rsidP="00320F17">
      <w:pPr>
        <w:jc w:val="both"/>
      </w:pPr>
      <w:r w:rsidRPr="00320F17">
        <w:rPr>
          <w:u w:val="single"/>
        </w:rPr>
        <w:t>Opm</w:t>
      </w:r>
      <w:r>
        <w:t>: Recent kunnen ze ook vanaf 12j in een gesloten afdeling van de gemeenschapsinstelling verblijven als er een ernstige aanslag heeft plaats gevonden op het leven/gezondheid van een persoon.</w:t>
      </w:r>
    </w:p>
    <w:p w:rsidR="00320F17" w:rsidRDefault="00320F17" w:rsidP="00320F17">
      <w:r>
        <w:t xml:space="preserve">De duur hangt samen met de plaatsingsgrond en het soort maatregel: </w:t>
      </w:r>
      <w:r>
        <w:br/>
        <w:t xml:space="preserve">- een MOF gepleegd in afwachting van een proces </w:t>
      </w:r>
      <w:r>
        <w:sym w:font="Wingdings" w:char="F0E0"/>
      </w:r>
      <w:r>
        <w:t xml:space="preserve"> voorlopige maatregel </w:t>
      </w:r>
      <w:r>
        <w:sym w:font="Wingdings" w:char="F0E0"/>
      </w:r>
      <w:r>
        <w:t xml:space="preserve"> max 3maand plus een verlenging, vervolgens enkel obv een maandelijks gemotiveerd verslag vd jeugdrechter</w:t>
      </w:r>
      <w:r>
        <w:br/>
        <w:t xml:space="preserve">- MOF </w:t>
      </w:r>
      <w:r>
        <w:sym w:font="Wingdings" w:char="F0E0"/>
      </w:r>
      <w:r>
        <w:t xml:space="preserve"> maatregel ten gronde </w:t>
      </w:r>
      <w:r>
        <w:sym w:font="Wingdings" w:char="F0E0"/>
      </w:r>
      <w:r>
        <w:t xml:space="preserve"> beslist de jeugdrechter hoe lang</w:t>
      </w:r>
      <w:r>
        <w:br/>
        <w:t xml:space="preserve">- POS </w:t>
      </w:r>
      <w:r>
        <w:sym w:font="Wingdings" w:char="F0E0"/>
      </w:r>
      <w:r>
        <w:t xml:space="preserve"> pedagogische maatregel </w:t>
      </w:r>
      <w:r>
        <w:sym w:font="Wingdings" w:char="F0E0"/>
      </w:r>
      <w:r>
        <w:t xml:space="preserve"> bij herhaaldelijke onttrekking max 3 maanden in instelling</w:t>
      </w:r>
    </w:p>
    <w:p w:rsidR="00D72FDF" w:rsidRDefault="00D72FDF" w:rsidP="00320F17">
      <w:pPr>
        <w:rPr>
          <w:b/>
        </w:rPr>
      </w:pPr>
      <w:r>
        <w:rPr>
          <w:b/>
        </w:rPr>
        <w:t>Werking en doel</w:t>
      </w:r>
    </w:p>
    <w:p w:rsidR="00D72FDF" w:rsidRDefault="00D72FDF" w:rsidP="00320F17">
      <w:r>
        <w:t>Een vrijheidsbeperktende als hulpverlenende capaciteit: doel = re socialiseren en re integreren</w:t>
      </w:r>
    </w:p>
    <w:p w:rsidR="00D72FDF" w:rsidRDefault="00D72FDF" w:rsidP="00320F17">
      <w:pPr>
        <w:rPr>
          <w:i/>
        </w:rPr>
      </w:pPr>
      <w:r>
        <w:rPr>
          <w:i/>
        </w:rPr>
        <w:t>Vrijheidsbeperking</w:t>
      </w:r>
    </w:p>
    <w:p w:rsidR="00D72FDF" w:rsidRDefault="00064CC1" w:rsidP="00A025E8">
      <w:pPr>
        <w:jc w:val="both"/>
      </w:pPr>
      <w:r>
        <w:t xml:space="preserve">Dwingende aard voor de cliënt als voor de instellingen die niet kunnen weigeren. Kenmerkend zijn de begrenzende infrastructuur (hekkens, gesloten deuren) en het strikt pedagogisch regime. Het onderscheid tussen een gesloten en een halfopen instelling is slechts gradueel en onder toezicht. </w:t>
      </w:r>
    </w:p>
    <w:p w:rsidR="00064CC1" w:rsidRDefault="00064CC1" w:rsidP="00320F17">
      <w:pPr>
        <w:rPr>
          <w:i/>
        </w:rPr>
      </w:pPr>
      <w:r>
        <w:rPr>
          <w:i/>
        </w:rPr>
        <w:t>Hulpverlening</w:t>
      </w:r>
    </w:p>
    <w:p w:rsidR="00064CC1" w:rsidRDefault="00064CC1" w:rsidP="00320F17">
      <w:r>
        <w:t>Op dit moment zijn zij bezig met de modulering van de huidige leefgroepen !!</w:t>
      </w:r>
      <w:r>
        <w:br/>
        <w:t>1) Onthaalleefgroep: volledig individueel programma waarbij zij geleidelijk aan deelnemen aan groepsactiviteiten en maaltijden (4-12dagen).</w:t>
      </w:r>
    </w:p>
    <w:p w:rsidR="00064CC1" w:rsidRDefault="00064CC1" w:rsidP="00320F17">
      <w:r>
        <w:t>2) Observatie- en oriëntatieleefgroepen: probleem in kaart brengen en zoeken naar ondersteuning</w:t>
      </w:r>
    </w:p>
    <w:p w:rsidR="00064CC1" w:rsidRDefault="00064CC1" w:rsidP="00320F17">
      <w:r>
        <w:t>3) Begeleidingsleefgroepen: gericht op langdurig verblijf + varianten specifieke noden</w:t>
      </w:r>
    </w:p>
    <w:p w:rsidR="00064CC1" w:rsidRDefault="00064CC1" w:rsidP="00320F17">
      <w:r>
        <w:t xml:space="preserve">4) Behandelingsleefgroep: jongeren die zeer zware feiten pleegden </w:t>
      </w:r>
      <w:r>
        <w:sym w:font="Wingdings" w:char="F0E0"/>
      </w:r>
      <w:r>
        <w:t xml:space="preserve"> intensief</w:t>
      </w:r>
    </w:p>
    <w:p w:rsidR="00064CC1" w:rsidRDefault="00064CC1" w:rsidP="00A025E8">
      <w:pPr>
        <w:jc w:val="both"/>
      </w:pPr>
      <w:r>
        <w:lastRenderedPageBreak/>
        <w:t xml:space="preserve">Bepaalde jongeren komen in een leefgroep GRT (geïndividualiseerd residentieel traject) voor zij die al vrijheid aankunnen maar toch nog een structuur nodig hebben. Zij hebben een alternatieve dagbesteding buitenshuis. Er is verder bijna nooit nazorg voorzien. </w:t>
      </w:r>
    </w:p>
    <w:p w:rsidR="00064CC1" w:rsidRDefault="00064CC1" w:rsidP="00320F17">
      <w:pPr>
        <w:rPr>
          <w:i/>
        </w:rPr>
      </w:pPr>
      <w:r>
        <w:rPr>
          <w:i/>
        </w:rPr>
        <w:t>Onderwijsaanbod</w:t>
      </w:r>
    </w:p>
    <w:p w:rsidR="00AC1810" w:rsidRDefault="00AC1810" w:rsidP="00A025E8">
      <w:pPr>
        <w:jc w:val="both"/>
      </w:pPr>
      <w:r>
        <w:t xml:space="preserve">In 2000 werd dit fel bekritiseerd en daarom is het hertekend. In de onthaalleefgroepen wordt geen onderwijs voorzien maar er is wel een inschatting van het leerniveau. </w:t>
      </w:r>
      <w:r w:rsidR="00A025E8">
        <w:t xml:space="preserve">Verder zijn verschillende trajectprofielen mogelijk: </w:t>
      </w:r>
      <w:r w:rsidR="00A025E8" w:rsidRPr="00A025E8">
        <w:rPr>
          <w:b/>
        </w:rPr>
        <w:t>schoolloopbaan</w:t>
      </w:r>
      <w:r w:rsidR="00A025E8">
        <w:t xml:space="preserve"> (voltijds), </w:t>
      </w:r>
      <w:r w:rsidR="00A025E8" w:rsidRPr="00A025E8">
        <w:rPr>
          <w:b/>
        </w:rPr>
        <w:t>alternerend leren-werken</w:t>
      </w:r>
      <w:r w:rsidR="00A025E8">
        <w:t xml:space="preserve">, </w:t>
      </w:r>
      <w:r w:rsidR="00A025E8" w:rsidRPr="00A025E8">
        <w:rPr>
          <w:b/>
        </w:rPr>
        <w:t>zelfstandigheid</w:t>
      </w:r>
      <w:r w:rsidR="00A025E8">
        <w:t xml:space="preserve">, </w:t>
      </w:r>
      <w:r w:rsidR="00A025E8" w:rsidRPr="00A025E8">
        <w:rPr>
          <w:b/>
        </w:rPr>
        <w:t>anderstaligen</w:t>
      </w:r>
      <w:r w:rsidR="00A025E8">
        <w:t xml:space="preserve"> en </w:t>
      </w:r>
      <w:r w:rsidR="00A025E8" w:rsidRPr="00A025E8">
        <w:rPr>
          <w:b/>
        </w:rPr>
        <w:t>individuele opvolging</w:t>
      </w:r>
      <w:r w:rsidR="00A025E8">
        <w:t xml:space="preserve"> (=niet voorgaande).</w:t>
      </w:r>
    </w:p>
    <w:p w:rsidR="00A025E8" w:rsidRDefault="00A025E8" w:rsidP="00320F17">
      <w:r>
        <w:t xml:space="preserve">Er wordt lesgegeven in kleine homogene groepen (4-6), combinatie van algemene- en praktische vorming. </w:t>
      </w:r>
    </w:p>
    <w:p w:rsidR="00A025E8" w:rsidRDefault="00A025E8" w:rsidP="00320F17">
      <w:pPr>
        <w:rPr>
          <w:i/>
        </w:rPr>
      </w:pPr>
      <w:r>
        <w:rPr>
          <w:i/>
        </w:rPr>
        <w:t>Pedagogisch aanbod</w:t>
      </w:r>
    </w:p>
    <w:p w:rsidR="00A025E8" w:rsidRDefault="00A025E8" w:rsidP="00A025E8">
      <w:pPr>
        <w:jc w:val="both"/>
      </w:pPr>
      <w:r>
        <w:t xml:space="preserve">Ook fel bekritiseerd en vervolgens aangepast, huidige stand van zaken </w:t>
      </w:r>
      <w:r>
        <w:sym w:font="Wingdings" w:char="F0E0"/>
      </w:r>
      <w:r>
        <w:t xml:space="preserve"> Pedagogisch directeur/instelling verantwoordelijk voor het aanbod, team campusverantwoordelijken voor dagdagelijkse pedagogische kwesties en de opvoeders per leefgroep. </w:t>
      </w:r>
      <w:r>
        <w:rPr>
          <w:u w:val="single"/>
        </w:rPr>
        <w:t>Kritiek</w:t>
      </w:r>
      <w:r>
        <w:t>: ’s nachts worden zij vervangen door bewakers zonder pedagogisch diploma.</w:t>
      </w:r>
      <w:r w:rsidR="00523269">
        <w:t xml:space="preserve"> </w:t>
      </w:r>
    </w:p>
    <w:p w:rsidR="00523269" w:rsidRDefault="00523269" w:rsidP="00A025E8">
      <w:pPr>
        <w:jc w:val="both"/>
      </w:pPr>
      <w:r>
        <w:t>Het aanbod kan worden ingedeeld in het (1) basale (3 componenten: sociaal interactioneel leermodel, ervaringsgericht leren en contextgericht werken) en het (2) specifieke hulpverleningsaanbod (LSCI)</w:t>
      </w:r>
    </w:p>
    <w:p w:rsidR="00F622C0" w:rsidRDefault="00F622C0" w:rsidP="00A025E8">
      <w:pPr>
        <w:jc w:val="both"/>
      </w:pPr>
      <w:r>
        <w:t xml:space="preserve">Om aan die specifieke behoeften te voldoen is er een multidisciplinair team: de maatschappelijk werker staat in als brugfunctie, de psycholoog voor de wekelijkse gesprekken, logopedisten/ergotherapeuten en verpleegkundig personeel. </w:t>
      </w:r>
    </w:p>
    <w:p w:rsidR="000E23CD" w:rsidRDefault="000E23CD" w:rsidP="00A025E8">
      <w:pPr>
        <w:jc w:val="both"/>
        <w:rPr>
          <w:b/>
        </w:rPr>
      </w:pPr>
      <w:r>
        <w:rPr>
          <w:b/>
        </w:rPr>
        <w:t>Doelgroep</w:t>
      </w:r>
    </w:p>
    <w:p w:rsidR="000E23CD" w:rsidRDefault="000E23CD" w:rsidP="00A025E8">
      <w:pPr>
        <w:jc w:val="both"/>
      </w:pPr>
      <w:r>
        <w:t xml:space="preserve">= zeer heterogeen: POS, MOF, ten gronde, voorlopig &lt;&gt; buurlanden </w:t>
      </w:r>
      <w:r>
        <w:sym w:font="Wingdings" w:char="F0E0"/>
      </w:r>
      <w:r>
        <w:t xml:space="preserve"> contaminatiegevaar</w:t>
      </w:r>
    </w:p>
    <w:p w:rsidR="000E23CD" w:rsidRDefault="000E23CD" w:rsidP="00A025E8">
      <w:pPr>
        <w:jc w:val="both"/>
      </w:pPr>
      <w:r>
        <w:t xml:space="preserve">Door de lange wachtlijsten van privé voorzieningen worden er meer dan nodig over gegaan op plaatsing in een gemeenschapsinstelling. (zij kunnen niet weigeren wegens plicht). </w:t>
      </w:r>
    </w:p>
    <w:p w:rsidR="000E23CD" w:rsidRDefault="000E23CD" w:rsidP="00A025E8">
      <w:pPr>
        <w:jc w:val="both"/>
        <w:rPr>
          <w:b/>
        </w:rPr>
      </w:pPr>
      <w:r>
        <w:rPr>
          <w:b/>
        </w:rPr>
        <w:t>Huidige en toekomstige ontwikkelingen</w:t>
      </w:r>
    </w:p>
    <w:p w:rsidR="000E23CD" w:rsidRDefault="00CF5944" w:rsidP="00A025E8">
      <w:pPr>
        <w:jc w:val="both"/>
      </w:pPr>
      <w:r>
        <w:t xml:space="preserve">Nota inzake de differentiatie van het aanbod binnen de gemeenschapsinstellingen = het centrale document </w:t>
      </w:r>
      <w:r>
        <w:sym w:font="Wingdings" w:char="F0E0"/>
      </w:r>
      <w:r>
        <w:t xml:space="preserve"> antwoord op de zwaarder wordende problematiek. Diagnostiek, hulptrajecten en intersectorale samenwerking  sluiten naadloos aan op het decreet IJH. </w:t>
      </w:r>
    </w:p>
    <w:p w:rsidR="00CF5944" w:rsidRDefault="00CF5944" w:rsidP="00A025E8">
      <w:pPr>
        <w:jc w:val="both"/>
        <w:rPr>
          <w:u w:val="single"/>
        </w:rPr>
      </w:pPr>
      <w:r>
        <w:rPr>
          <w:u w:val="single"/>
        </w:rPr>
        <w:t>3.2.4</w:t>
      </w:r>
      <w:r>
        <w:rPr>
          <w:u w:val="single"/>
        </w:rPr>
        <w:tab/>
        <w:t>Gesloten federale centra van Everberg en Tongeren</w:t>
      </w:r>
    </w:p>
    <w:p w:rsidR="00CF5944" w:rsidRDefault="004048A0" w:rsidP="00A025E8">
      <w:pPr>
        <w:jc w:val="both"/>
      </w:pPr>
      <w:r>
        <w:t>Tot 2002 was het mogelijk dat jongeren terecht kwamen in een huis van arrest (gevangenis). Met de afschaffing hiervan kwam de oprichting van Everberg. Hier kan men max 2maand 5dagen verblijven als men +14j is en ern</w:t>
      </w:r>
      <w:r w:rsidR="00C73F41">
        <w:t xml:space="preserve">stige feiten heeft gepleegd en er geen plaats meer is in de gemeenschapsinstellingen. </w:t>
      </w:r>
      <w:r w:rsidR="00C73F41">
        <w:sym w:font="Wingdings" w:char="F0E0"/>
      </w:r>
      <w:r w:rsidR="00C73F41">
        <w:t xml:space="preserve"> voorlopige maatregel!!!</w:t>
      </w:r>
    </w:p>
    <w:p w:rsidR="00C73F41" w:rsidRDefault="00C73F41" w:rsidP="00A025E8">
      <w:pPr>
        <w:jc w:val="both"/>
      </w:pPr>
      <w:r>
        <w:t xml:space="preserve">Ondanks De Grubbe bleef er een tekort en daarom werd de oude gevangenis van Tongeren gerenoveerd. Hier zitten 3 soorten jongens (20 plaatsen): </w:t>
      </w:r>
    </w:p>
    <w:p w:rsidR="00C73F41" w:rsidRDefault="00C73F41" w:rsidP="00C73F41">
      <w:r>
        <w:t xml:space="preserve">(1) in afwachting van bed Grubbe </w:t>
      </w:r>
      <w:r>
        <w:sym w:font="Wingdings" w:char="F0E0"/>
      </w:r>
      <w:r>
        <w:t xml:space="preserve"> pedagogische activiteiten </w:t>
      </w:r>
      <w:r>
        <w:br/>
        <w:t xml:space="preserve">(2) uit handen gegeven jongens +16jaar </w:t>
      </w:r>
      <w:r>
        <w:sym w:font="Wingdings" w:char="F0E0"/>
      </w:r>
      <w:r>
        <w:t xml:space="preserve"> meerderjarigen niet verplicht toot deelnemen activiteiten (3) sinds 2013 max. 25 plaatsen voor jongeren 18-24 die voor het 1st in de gevangenis belanden</w:t>
      </w:r>
    </w:p>
    <w:p w:rsidR="00C73F41" w:rsidRDefault="00C73F41" w:rsidP="00C73F41">
      <w:r>
        <w:t xml:space="preserve">Volgens art. 37 Verdag Inzake de Rechten van het Kind moeten zij strik gescheiden zijn, dit is geen evidentie. </w:t>
      </w:r>
    </w:p>
    <w:p w:rsidR="00C73F41" w:rsidRDefault="00C73F41" w:rsidP="00C73F41">
      <w:pPr>
        <w:rPr>
          <w:u w:val="single"/>
        </w:rPr>
      </w:pPr>
      <w:r>
        <w:rPr>
          <w:u w:val="single"/>
        </w:rPr>
        <w:lastRenderedPageBreak/>
        <w:t>4.</w:t>
      </w:r>
      <w:r>
        <w:rPr>
          <w:u w:val="single"/>
        </w:rPr>
        <w:tab/>
        <w:t>Blik in de toekomst</w:t>
      </w:r>
    </w:p>
    <w:p w:rsidR="00C73F41" w:rsidRDefault="00DE6EA3" w:rsidP="00C73F41">
      <w:r>
        <w:t xml:space="preserve">Vanaf 1 januari 2015 wordt volledig afgestapt van klassieke categorieën en zullen voorzieningen voor Jongerenwelzijn gemoduleerde multifunctionele organisaties zijn. </w:t>
      </w:r>
    </w:p>
    <w:tbl>
      <w:tblPr>
        <w:tblStyle w:val="Tabelraster"/>
        <w:tblW w:w="0" w:type="auto"/>
        <w:tblLook w:val="04A0" w:firstRow="1" w:lastRow="0" w:firstColumn="1" w:lastColumn="0" w:noHBand="0" w:noVBand="1"/>
      </w:tblPr>
      <w:tblGrid>
        <w:gridCol w:w="1317"/>
      </w:tblGrid>
      <w:tr w:rsidR="00DE6EA3" w:rsidTr="00DE6EA3">
        <w:tc>
          <w:tcPr>
            <w:tcW w:w="1317" w:type="dxa"/>
          </w:tcPr>
          <w:p w:rsidR="00DE6EA3" w:rsidRDefault="00DE6EA3" w:rsidP="00C73F41">
            <w:r>
              <w:t>Modulering</w:t>
            </w:r>
          </w:p>
        </w:tc>
      </w:tr>
    </w:tbl>
    <w:p w:rsidR="00A025E8" w:rsidRDefault="00DE6EA3" w:rsidP="00DE6EA3">
      <w:pPr>
        <w:jc w:val="both"/>
      </w:pPr>
      <w:r>
        <w:t>Zo wordt het aanbod eenvoudiger en transparanter, de typemodules zorgen voor een gemeenschappelijke taal met oog op samenwerking.</w:t>
      </w:r>
    </w:p>
    <w:p w:rsidR="00DE6EA3" w:rsidRDefault="00DE6EA3" w:rsidP="00DE6EA3">
      <w:pPr>
        <w:jc w:val="both"/>
        <w:rPr>
          <w:b/>
        </w:rPr>
      </w:pPr>
      <w:r>
        <w:rPr>
          <w:b/>
        </w:rPr>
        <w:t>Vroeger en nu</w:t>
      </w:r>
    </w:p>
    <w:p w:rsidR="00DE6EA3" w:rsidRDefault="00DE6EA3" w:rsidP="00DE6EA3">
      <w:pPr>
        <w:jc w:val="both"/>
      </w:pPr>
      <w:r>
        <w:t>We schakelen over van 10 categorieën naar 6 typemodules</w:t>
      </w:r>
      <w:r w:rsidR="004C6B13">
        <w:t xml:space="preserve">, zowel de RTH als NRTH wordt onderverdeeld in 10 functies: brede instap, info en advies, diagnostiek, begeleiding, behandeling, bemiddeling, training, hulpcontinuïteit, verblijf en dagopvang. </w:t>
      </w:r>
    </w:p>
    <w:p w:rsidR="00C644C9" w:rsidRDefault="00C644C9" w:rsidP="00DE6EA3">
      <w:pPr>
        <w:jc w:val="both"/>
      </w:pPr>
      <w:r>
        <w:t>De 6 typemodules zijn: Contextbegeleiding, Contextbegeleiding in functie van zelfstandig wonen, Dagbesteding in groep, Verblijf, Ondersteunende begeleiding en kortdurend (crisis) verblijf. Een module is een concretisering van een typemodule en kan nog extra acties, indicaties of leeftijd beperkingen hebben</w:t>
      </w:r>
      <w:r w:rsidR="00816E58">
        <w:t xml:space="preserve"> (wel vanuit een trefwoordenlijst).</w:t>
      </w:r>
    </w:p>
    <w:tbl>
      <w:tblPr>
        <w:tblStyle w:val="Tabelraster"/>
        <w:tblW w:w="0" w:type="auto"/>
        <w:tblLook w:val="04A0" w:firstRow="1" w:lastRow="0" w:firstColumn="1" w:lastColumn="0" w:noHBand="0" w:noVBand="1"/>
      </w:tblPr>
      <w:tblGrid>
        <w:gridCol w:w="3681"/>
      </w:tblGrid>
      <w:tr w:rsidR="00816E58" w:rsidTr="00816E58">
        <w:tc>
          <w:tcPr>
            <w:tcW w:w="3681" w:type="dxa"/>
          </w:tcPr>
          <w:p w:rsidR="00816E58" w:rsidRDefault="00816E58" w:rsidP="00DE6EA3">
            <w:pPr>
              <w:jc w:val="both"/>
            </w:pPr>
            <w:r>
              <w:t>Multi functionele hulpverleningscentra</w:t>
            </w:r>
          </w:p>
        </w:tc>
      </w:tr>
    </w:tbl>
    <w:p w:rsidR="00816E58" w:rsidRDefault="00816E58" w:rsidP="00DE6EA3">
      <w:pPr>
        <w:jc w:val="both"/>
      </w:pPr>
      <w:r>
        <w:t>Het proefproject in 2007 was een belangrijke stap voor de flexibilisering van het jeugdaanbod. Men wou vooral zo de erkenningscategorieën wegwerken. Het proefproject ligt aan de basis van het experimenteel modulair kader.</w:t>
      </w:r>
    </w:p>
    <w:p w:rsidR="00816E58" w:rsidRDefault="00816E58" w:rsidP="00DE6EA3">
      <w:pPr>
        <w:jc w:val="both"/>
      </w:pPr>
      <w:r>
        <w:rPr>
          <w:b/>
        </w:rPr>
        <w:t>Werking</w:t>
      </w:r>
    </w:p>
    <w:p w:rsidR="00816E58" w:rsidRDefault="00816E58" w:rsidP="00DE6EA3">
      <w:pPr>
        <w:jc w:val="both"/>
      </w:pPr>
      <w:r>
        <w:t xml:space="preserve">Combinatie van begeleidingstehuis, thuisbegeleidingsdienst en een dagcentrum. De verhouding residentieel- andere plaatsen is 30%-70%. </w:t>
      </w:r>
    </w:p>
    <w:p w:rsidR="00816E58" w:rsidRDefault="00816E58" w:rsidP="00DE6EA3">
      <w:pPr>
        <w:jc w:val="both"/>
      </w:pPr>
      <w:r>
        <w:t xml:space="preserve">In een MFC-traject kunnen verschillende zorgmodules ingezet worden, dit pakket in te zetten modules heet de bandbreedte. De modules Contextbegeleiding en Individuele begeleiding worden in elk traject opgenomen. </w:t>
      </w:r>
    </w:p>
    <w:p w:rsidR="00816E58" w:rsidRDefault="00816E58" w:rsidP="00DE6EA3">
      <w:pPr>
        <w:jc w:val="both"/>
        <w:rPr>
          <w:b/>
        </w:rPr>
      </w:pPr>
      <w:r>
        <w:rPr>
          <w:b/>
        </w:rPr>
        <w:t>Conclusie/evaluatie</w:t>
      </w:r>
    </w:p>
    <w:p w:rsidR="00816E58" w:rsidRDefault="00816E58" w:rsidP="00DE6EA3">
      <w:pPr>
        <w:jc w:val="both"/>
      </w:pPr>
      <w:r>
        <w:t xml:space="preserve">Er zijn minder breuken in de hulpverleningstrajecten, er zijn meer afgesproken beëindigingen en deze vervolgen voornamelijk in RTH, de tevredenheid is groot en voorzichtig kan gezegd worden dat de begeleidingstijden veel korter zijn. </w:t>
      </w:r>
    </w:p>
    <w:p w:rsidR="000B2C53" w:rsidRPr="00816E58" w:rsidRDefault="000B2C53" w:rsidP="00DE6EA3">
      <w:pPr>
        <w:jc w:val="both"/>
      </w:pPr>
      <w:r>
        <w:t xml:space="preserve">“Experimenteel kader” omdat de overloop naar gemoduleerde zorggarantie stapsgewijs verloopt. Obv van dit experiment kunnen aanbevelingen gedaan worden. </w:t>
      </w:r>
      <w:bookmarkStart w:id="0" w:name="_GoBack"/>
      <w:bookmarkEnd w:id="0"/>
    </w:p>
    <w:sectPr w:rsidR="000B2C53" w:rsidRPr="00816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863"/>
    <w:multiLevelType w:val="hybridMultilevel"/>
    <w:tmpl w:val="49C452AC"/>
    <w:lvl w:ilvl="0" w:tplc="D0945DA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4A06C3"/>
    <w:multiLevelType w:val="hybridMultilevel"/>
    <w:tmpl w:val="0A8E5FA4"/>
    <w:lvl w:ilvl="0" w:tplc="0A3E468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A6167E"/>
    <w:multiLevelType w:val="hybridMultilevel"/>
    <w:tmpl w:val="152EEB5C"/>
    <w:lvl w:ilvl="0" w:tplc="F572BC72">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1E3B6E"/>
    <w:multiLevelType w:val="hybridMultilevel"/>
    <w:tmpl w:val="D158BE48"/>
    <w:lvl w:ilvl="0" w:tplc="44DE47E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E500E7"/>
    <w:multiLevelType w:val="hybridMultilevel"/>
    <w:tmpl w:val="8950471C"/>
    <w:lvl w:ilvl="0" w:tplc="5CA495FC">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2505E0"/>
    <w:multiLevelType w:val="hybridMultilevel"/>
    <w:tmpl w:val="0DFCCE82"/>
    <w:lvl w:ilvl="0" w:tplc="F572BC72">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69"/>
    <w:rsid w:val="000132B4"/>
    <w:rsid w:val="00026026"/>
    <w:rsid w:val="00064CC1"/>
    <w:rsid w:val="000B2C53"/>
    <w:rsid w:val="000E23CD"/>
    <w:rsid w:val="000E47E5"/>
    <w:rsid w:val="0012032D"/>
    <w:rsid w:val="00123363"/>
    <w:rsid w:val="0013597F"/>
    <w:rsid w:val="002248DB"/>
    <w:rsid w:val="002439F9"/>
    <w:rsid w:val="002A213E"/>
    <w:rsid w:val="002B41CB"/>
    <w:rsid w:val="00320F17"/>
    <w:rsid w:val="0034092D"/>
    <w:rsid w:val="00344639"/>
    <w:rsid w:val="003911A2"/>
    <w:rsid w:val="003A237D"/>
    <w:rsid w:val="004048A0"/>
    <w:rsid w:val="00463DBB"/>
    <w:rsid w:val="00480D2A"/>
    <w:rsid w:val="0048195D"/>
    <w:rsid w:val="004C6B13"/>
    <w:rsid w:val="005161F0"/>
    <w:rsid w:val="00523269"/>
    <w:rsid w:val="005A2037"/>
    <w:rsid w:val="006163AD"/>
    <w:rsid w:val="00660BA1"/>
    <w:rsid w:val="0068634E"/>
    <w:rsid w:val="006B1464"/>
    <w:rsid w:val="00743A32"/>
    <w:rsid w:val="00816E58"/>
    <w:rsid w:val="00856626"/>
    <w:rsid w:val="00945333"/>
    <w:rsid w:val="009B6CEA"/>
    <w:rsid w:val="009C7569"/>
    <w:rsid w:val="00A025E8"/>
    <w:rsid w:val="00A2161F"/>
    <w:rsid w:val="00A30F69"/>
    <w:rsid w:val="00A63346"/>
    <w:rsid w:val="00AC1810"/>
    <w:rsid w:val="00B10D53"/>
    <w:rsid w:val="00C644C9"/>
    <w:rsid w:val="00C73F41"/>
    <w:rsid w:val="00CF5944"/>
    <w:rsid w:val="00D72FDF"/>
    <w:rsid w:val="00DE6EA3"/>
    <w:rsid w:val="00EF3038"/>
    <w:rsid w:val="00F25DB9"/>
    <w:rsid w:val="00F51DB4"/>
    <w:rsid w:val="00F622C0"/>
    <w:rsid w:val="00FC0C2B"/>
    <w:rsid w:val="00FF6E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A550"/>
  <w15:chartTrackingRefBased/>
  <w15:docId w15:val="{C4EC40F2-3743-41DC-AD80-2998E828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C7569"/>
  </w:style>
  <w:style w:type="paragraph" w:styleId="Kop1">
    <w:name w:val="heading 1"/>
    <w:basedOn w:val="Standaard"/>
    <w:next w:val="Standaard"/>
    <w:link w:val="Kop1Char"/>
    <w:uiPriority w:val="9"/>
    <w:qFormat/>
    <w:rsid w:val="009C7569"/>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9C7569"/>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9C7569"/>
    <w:pPr>
      <w:pBdr>
        <w:top w:val="single" w:sz="6" w:space="2" w:color="549E39" w:themeColor="accent1"/>
      </w:pBdr>
      <w:spacing w:before="300" w:after="0"/>
      <w:outlineLvl w:val="2"/>
    </w:pPr>
    <w:rPr>
      <w:caps/>
      <w:color w:val="294E1C" w:themeColor="accent1" w:themeShade="7F"/>
      <w:spacing w:val="15"/>
    </w:rPr>
  </w:style>
  <w:style w:type="paragraph" w:styleId="Kop4">
    <w:name w:val="heading 4"/>
    <w:basedOn w:val="Standaard"/>
    <w:next w:val="Standaard"/>
    <w:link w:val="Kop4Char"/>
    <w:uiPriority w:val="9"/>
    <w:unhideWhenUsed/>
    <w:qFormat/>
    <w:rsid w:val="009C7569"/>
    <w:pPr>
      <w:pBdr>
        <w:top w:val="dotted" w:sz="6" w:space="2" w:color="549E39" w:themeColor="accent1"/>
      </w:pBdr>
      <w:spacing w:before="200" w:after="0"/>
      <w:outlineLvl w:val="3"/>
    </w:pPr>
    <w:rPr>
      <w:caps/>
      <w:color w:val="3E762A" w:themeColor="accent1" w:themeShade="BF"/>
      <w:spacing w:val="10"/>
    </w:rPr>
  </w:style>
  <w:style w:type="paragraph" w:styleId="Kop5">
    <w:name w:val="heading 5"/>
    <w:basedOn w:val="Standaard"/>
    <w:next w:val="Standaard"/>
    <w:link w:val="Kop5Char"/>
    <w:uiPriority w:val="9"/>
    <w:semiHidden/>
    <w:unhideWhenUsed/>
    <w:qFormat/>
    <w:rsid w:val="009C7569"/>
    <w:pPr>
      <w:pBdr>
        <w:bottom w:val="single" w:sz="6" w:space="1" w:color="549E39" w:themeColor="accent1"/>
      </w:pBdr>
      <w:spacing w:before="200" w:after="0"/>
      <w:outlineLvl w:val="4"/>
    </w:pPr>
    <w:rPr>
      <w:caps/>
      <w:color w:val="3E762A" w:themeColor="accent1" w:themeShade="BF"/>
      <w:spacing w:val="10"/>
    </w:rPr>
  </w:style>
  <w:style w:type="paragraph" w:styleId="Kop6">
    <w:name w:val="heading 6"/>
    <w:basedOn w:val="Standaard"/>
    <w:next w:val="Standaard"/>
    <w:link w:val="Kop6Char"/>
    <w:uiPriority w:val="9"/>
    <w:semiHidden/>
    <w:unhideWhenUsed/>
    <w:qFormat/>
    <w:rsid w:val="009C7569"/>
    <w:pPr>
      <w:pBdr>
        <w:bottom w:val="dotted" w:sz="6" w:space="1" w:color="549E39" w:themeColor="accent1"/>
      </w:pBdr>
      <w:spacing w:before="200" w:after="0"/>
      <w:outlineLvl w:val="5"/>
    </w:pPr>
    <w:rPr>
      <w:caps/>
      <w:color w:val="3E762A" w:themeColor="accent1" w:themeShade="BF"/>
      <w:spacing w:val="10"/>
    </w:rPr>
  </w:style>
  <w:style w:type="paragraph" w:styleId="Kop7">
    <w:name w:val="heading 7"/>
    <w:basedOn w:val="Standaard"/>
    <w:next w:val="Standaard"/>
    <w:link w:val="Kop7Char"/>
    <w:uiPriority w:val="9"/>
    <w:semiHidden/>
    <w:unhideWhenUsed/>
    <w:qFormat/>
    <w:rsid w:val="009C7569"/>
    <w:pPr>
      <w:spacing w:before="200" w:after="0"/>
      <w:outlineLvl w:val="6"/>
    </w:pPr>
    <w:rPr>
      <w:caps/>
      <w:color w:val="3E762A" w:themeColor="accent1" w:themeShade="BF"/>
      <w:spacing w:val="10"/>
    </w:rPr>
  </w:style>
  <w:style w:type="paragraph" w:styleId="Kop8">
    <w:name w:val="heading 8"/>
    <w:basedOn w:val="Standaard"/>
    <w:next w:val="Standaard"/>
    <w:link w:val="Kop8Char"/>
    <w:uiPriority w:val="9"/>
    <w:semiHidden/>
    <w:unhideWhenUsed/>
    <w:qFormat/>
    <w:rsid w:val="009C756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C7569"/>
    <w:pPr>
      <w:spacing w:before="200" w:after="0"/>
      <w:outlineLvl w:val="8"/>
    </w:pPr>
    <w:rPr>
      <w:i/>
      <w:iCs/>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569"/>
    <w:rPr>
      <w:caps/>
      <w:color w:val="FFFFFF" w:themeColor="background1"/>
      <w:spacing w:val="15"/>
      <w:sz w:val="22"/>
      <w:szCs w:val="22"/>
      <w:shd w:val="clear" w:color="auto" w:fill="549E39" w:themeFill="accent1"/>
    </w:rPr>
  </w:style>
  <w:style w:type="character" w:customStyle="1" w:styleId="Kop2Char">
    <w:name w:val="Kop 2 Char"/>
    <w:basedOn w:val="Standaardalinea-lettertype"/>
    <w:link w:val="Kop2"/>
    <w:uiPriority w:val="9"/>
    <w:rsid w:val="009C7569"/>
    <w:rPr>
      <w:caps/>
      <w:spacing w:val="15"/>
      <w:shd w:val="clear" w:color="auto" w:fill="DAEFD3" w:themeFill="accent1" w:themeFillTint="33"/>
    </w:rPr>
  </w:style>
  <w:style w:type="character" w:customStyle="1" w:styleId="Kop3Char">
    <w:name w:val="Kop 3 Char"/>
    <w:basedOn w:val="Standaardalinea-lettertype"/>
    <w:link w:val="Kop3"/>
    <w:uiPriority w:val="9"/>
    <w:rsid w:val="009C7569"/>
    <w:rPr>
      <w:caps/>
      <w:color w:val="294E1C" w:themeColor="accent1" w:themeShade="7F"/>
      <w:spacing w:val="15"/>
    </w:rPr>
  </w:style>
  <w:style w:type="character" w:customStyle="1" w:styleId="Kop4Char">
    <w:name w:val="Kop 4 Char"/>
    <w:basedOn w:val="Standaardalinea-lettertype"/>
    <w:link w:val="Kop4"/>
    <w:uiPriority w:val="9"/>
    <w:rsid w:val="009C7569"/>
    <w:rPr>
      <w:caps/>
      <w:color w:val="3E762A" w:themeColor="accent1" w:themeShade="BF"/>
      <w:spacing w:val="10"/>
    </w:rPr>
  </w:style>
  <w:style w:type="character" w:customStyle="1" w:styleId="Kop5Char">
    <w:name w:val="Kop 5 Char"/>
    <w:basedOn w:val="Standaardalinea-lettertype"/>
    <w:link w:val="Kop5"/>
    <w:uiPriority w:val="9"/>
    <w:semiHidden/>
    <w:rsid w:val="009C7569"/>
    <w:rPr>
      <w:caps/>
      <w:color w:val="3E762A" w:themeColor="accent1" w:themeShade="BF"/>
      <w:spacing w:val="10"/>
    </w:rPr>
  </w:style>
  <w:style w:type="character" w:customStyle="1" w:styleId="Kop6Char">
    <w:name w:val="Kop 6 Char"/>
    <w:basedOn w:val="Standaardalinea-lettertype"/>
    <w:link w:val="Kop6"/>
    <w:uiPriority w:val="9"/>
    <w:semiHidden/>
    <w:rsid w:val="009C7569"/>
    <w:rPr>
      <w:caps/>
      <w:color w:val="3E762A" w:themeColor="accent1" w:themeShade="BF"/>
      <w:spacing w:val="10"/>
    </w:rPr>
  </w:style>
  <w:style w:type="character" w:customStyle="1" w:styleId="Kop7Char">
    <w:name w:val="Kop 7 Char"/>
    <w:basedOn w:val="Standaardalinea-lettertype"/>
    <w:link w:val="Kop7"/>
    <w:uiPriority w:val="9"/>
    <w:semiHidden/>
    <w:rsid w:val="009C7569"/>
    <w:rPr>
      <w:caps/>
      <w:color w:val="3E762A" w:themeColor="accent1" w:themeShade="BF"/>
      <w:spacing w:val="10"/>
    </w:rPr>
  </w:style>
  <w:style w:type="character" w:customStyle="1" w:styleId="Kop8Char">
    <w:name w:val="Kop 8 Char"/>
    <w:basedOn w:val="Standaardalinea-lettertype"/>
    <w:link w:val="Kop8"/>
    <w:uiPriority w:val="9"/>
    <w:semiHidden/>
    <w:rsid w:val="009C7569"/>
    <w:rPr>
      <w:caps/>
      <w:spacing w:val="10"/>
      <w:sz w:val="18"/>
      <w:szCs w:val="18"/>
    </w:rPr>
  </w:style>
  <w:style w:type="character" w:customStyle="1" w:styleId="Kop9Char">
    <w:name w:val="Kop 9 Char"/>
    <w:basedOn w:val="Standaardalinea-lettertype"/>
    <w:link w:val="Kop9"/>
    <w:uiPriority w:val="9"/>
    <w:semiHidden/>
    <w:rsid w:val="009C7569"/>
    <w:rPr>
      <w:i/>
      <w:iCs/>
      <w:caps/>
      <w:spacing w:val="10"/>
      <w:sz w:val="18"/>
      <w:szCs w:val="18"/>
    </w:rPr>
  </w:style>
  <w:style w:type="paragraph" w:styleId="Bijschrift">
    <w:name w:val="caption"/>
    <w:basedOn w:val="Standaard"/>
    <w:next w:val="Standaard"/>
    <w:uiPriority w:val="35"/>
    <w:semiHidden/>
    <w:unhideWhenUsed/>
    <w:qFormat/>
    <w:rsid w:val="009C7569"/>
    <w:rPr>
      <w:b/>
      <w:bCs/>
      <w:color w:val="3E762A" w:themeColor="accent1" w:themeShade="BF"/>
      <w:sz w:val="16"/>
      <w:szCs w:val="16"/>
    </w:rPr>
  </w:style>
  <w:style w:type="paragraph" w:styleId="Titel">
    <w:name w:val="Title"/>
    <w:basedOn w:val="Standaard"/>
    <w:next w:val="Standaard"/>
    <w:link w:val="TitelChar"/>
    <w:uiPriority w:val="10"/>
    <w:qFormat/>
    <w:rsid w:val="009C7569"/>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elChar">
    <w:name w:val="Titel Char"/>
    <w:basedOn w:val="Standaardalinea-lettertype"/>
    <w:link w:val="Titel"/>
    <w:uiPriority w:val="10"/>
    <w:rsid w:val="009C7569"/>
    <w:rPr>
      <w:rFonts w:asciiTheme="majorHAnsi" w:eastAsiaTheme="majorEastAsia" w:hAnsiTheme="majorHAnsi" w:cstheme="majorBidi"/>
      <w:caps/>
      <w:color w:val="549E39" w:themeColor="accent1"/>
      <w:spacing w:val="10"/>
      <w:sz w:val="52"/>
      <w:szCs w:val="52"/>
    </w:rPr>
  </w:style>
  <w:style w:type="paragraph" w:styleId="Ondertitel">
    <w:name w:val="Subtitle"/>
    <w:basedOn w:val="Standaard"/>
    <w:next w:val="Standaard"/>
    <w:link w:val="OndertitelChar"/>
    <w:uiPriority w:val="11"/>
    <w:qFormat/>
    <w:rsid w:val="009C756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C7569"/>
    <w:rPr>
      <w:caps/>
      <w:color w:val="595959" w:themeColor="text1" w:themeTint="A6"/>
      <w:spacing w:val="10"/>
      <w:sz w:val="21"/>
      <w:szCs w:val="21"/>
    </w:rPr>
  </w:style>
  <w:style w:type="character" w:styleId="Zwaar">
    <w:name w:val="Strong"/>
    <w:uiPriority w:val="22"/>
    <w:qFormat/>
    <w:rsid w:val="009C7569"/>
    <w:rPr>
      <w:b/>
      <w:bCs/>
    </w:rPr>
  </w:style>
  <w:style w:type="character" w:styleId="Nadruk">
    <w:name w:val="Emphasis"/>
    <w:uiPriority w:val="20"/>
    <w:qFormat/>
    <w:rsid w:val="009C7569"/>
    <w:rPr>
      <w:caps/>
      <w:color w:val="294E1C" w:themeColor="accent1" w:themeShade="7F"/>
      <w:spacing w:val="5"/>
    </w:rPr>
  </w:style>
  <w:style w:type="paragraph" w:styleId="Geenafstand">
    <w:name w:val="No Spacing"/>
    <w:uiPriority w:val="1"/>
    <w:qFormat/>
    <w:rsid w:val="009C7569"/>
    <w:pPr>
      <w:spacing w:after="0" w:line="240" w:lineRule="auto"/>
    </w:pPr>
  </w:style>
  <w:style w:type="paragraph" w:styleId="Citaat">
    <w:name w:val="Quote"/>
    <w:basedOn w:val="Standaard"/>
    <w:next w:val="Standaard"/>
    <w:link w:val="CitaatChar"/>
    <w:uiPriority w:val="29"/>
    <w:qFormat/>
    <w:rsid w:val="009C7569"/>
    <w:rPr>
      <w:i/>
      <w:iCs/>
      <w:sz w:val="24"/>
      <w:szCs w:val="24"/>
    </w:rPr>
  </w:style>
  <w:style w:type="character" w:customStyle="1" w:styleId="CitaatChar">
    <w:name w:val="Citaat Char"/>
    <w:basedOn w:val="Standaardalinea-lettertype"/>
    <w:link w:val="Citaat"/>
    <w:uiPriority w:val="29"/>
    <w:rsid w:val="009C7569"/>
    <w:rPr>
      <w:i/>
      <w:iCs/>
      <w:sz w:val="24"/>
      <w:szCs w:val="24"/>
    </w:rPr>
  </w:style>
  <w:style w:type="paragraph" w:styleId="Duidelijkcitaat">
    <w:name w:val="Intense Quote"/>
    <w:basedOn w:val="Standaard"/>
    <w:next w:val="Standaard"/>
    <w:link w:val="DuidelijkcitaatChar"/>
    <w:uiPriority w:val="30"/>
    <w:qFormat/>
    <w:rsid w:val="009C7569"/>
    <w:pPr>
      <w:spacing w:before="240" w:after="240" w:line="240" w:lineRule="auto"/>
      <w:ind w:left="1080" w:right="1080"/>
      <w:jc w:val="center"/>
    </w:pPr>
    <w:rPr>
      <w:color w:val="549E39" w:themeColor="accent1"/>
      <w:sz w:val="24"/>
      <w:szCs w:val="24"/>
    </w:rPr>
  </w:style>
  <w:style w:type="character" w:customStyle="1" w:styleId="DuidelijkcitaatChar">
    <w:name w:val="Duidelijk citaat Char"/>
    <w:basedOn w:val="Standaardalinea-lettertype"/>
    <w:link w:val="Duidelijkcitaat"/>
    <w:uiPriority w:val="30"/>
    <w:rsid w:val="009C7569"/>
    <w:rPr>
      <w:color w:val="549E39" w:themeColor="accent1"/>
      <w:sz w:val="24"/>
      <w:szCs w:val="24"/>
    </w:rPr>
  </w:style>
  <w:style w:type="character" w:styleId="Subtielebenadrukking">
    <w:name w:val="Subtle Emphasis"/>
    <w:uiPriority w:val="19"/>
    <w:qFormat/>
    <w:rsid w:val="009C7569"/>
    <w:rPr>
      <w:i/>
      <w:iCs/>
      <w:color w:val="294E1C" w:themeColor="accent1" w:themeShade="7F"/>
    </w:rPr>
  </w:style>
  <w:style w:type="character" w:styleId="Intensievebenadrukking">
    <w:name w:val="Intense Emphasis"/>
    <w:uiPriority w:val="21"/>
    <w:qFormat/>
    <w:rsid w:val="009C7569"/>
    <w:rPr>
      <w:b/>
      <w:bCs/>
      <w:caps/>
      <w:color w:val="294E1C" w:themeColor="accent1" w:themeShade="7F"/>
      <w:spacing w:val="10"/>
    </w:rPr>
  </w:style>
  <w:style w:type="character" w:styleId="Subtieleverwijzing">
    <w:name w:val="Subtle Reference"/>
    <w:uiPriority w:val="31"/>
    <w:qFormat/>
    <w:rsid w:val="009C7569"/>
    <w:rPr>
      <w:b/>
      <w:bCs/>
      <w:color w:val="549E39" w:themeColor="accent1"/>
    </w:rPr>
  </w:style>
  <w:style w:type="character" w:styleId="Intensieveverwijzing">
    <w:name w:val="Intense Reference"/>
    <w:uiPriority w:val="32"/>
    <w:qFormat/>
    <w:rsid w:val="009C7569"/>
    <w:rPr>
      <w:b/>
      <w:bCs/>
      <w:i/>
      <w:iCs/>
      <w:caps/>
      <w:color w:val="549E39" w:themeColor="accent1"/>
    </w:rPr>
  </w:style>
  <w:style w:type="character" w:styleId="Titelvanboek">
    <w:name w:val="Book Title"/>
    <w:uiPriority w:val="33"/>
    <w:qFormat/>
    <w:rsid w:val="009C7569"/>
    <w:rPr>
      <w:b/>
      <w:bCs/>
      <w:i/>
      <w:iCs/>
      <w:spacing w:val="0"/>
    </w:rPr>
  </w:style>
  <w:style w:type="paragraph" w:styleId="Kopvaninhoudsopgave">
    <w:name w:val="TOC Heading"/>
    <w:basedOn w:val="Kop1"/>
    <w:next w:val="Standaard"/>
    <w:uiPriority w:val="39"/>
    <w:semiHidden/>
    <w:unhideWhenUsed/>
    <w:qFormat/>
    <w:rsid w:val="009C7569"/>
    <w:pPr>
      <w:outlineLvl w:val="9"/>
    </w:pPr>
  </w:style>
  <w:style w:type="table" w:styleId="Tabelraster">
    <w:name w:val="Table Grid"/>
    <w:basedOn w:val="Standaardtabel"/>
    <w:uiPriority w:val="39"/>
    <w:rsid w:val="00480D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2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397</TotalTime>
  <Pages>7</Pages>
  <Words>2902</Words>
  <Characters>15967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Lootens</dc:creator>
  <cp:keywords/>
  <dc:description/>
  <cp:lastModifiedBy>Jill Lootens</cp:lastModifiedBy>
  <cp:revision>16</cp:revision>
  <dcterms:created xsi:type="dcterms:W3CDTF">2017-05-15T10:57:00Z</dcterms:created>
  <dcterms:modified xsi:type="dcterms:W3CDTF">2017-05-19T18:41:00Z</dcterms:modified>
</cp:coreProperties>
</file>